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EE538" w14:textId="77777777" w:rsidR="00C56891" w:rsidRDefault="00C56891" w:rsidP="00295DB1">
      <w:pPr>
        <w:jc w:val="both"/>
        <w:rPr>
          <w:rFonts w:asciiTheme="majorHAnsi" w:hAnsiTheme="majorHAnsi"/>
          <w:color w:val="000000"/>
          <w:sz w:val="22"/>
          <w:szCs w:val="22"/>
        </w:rPr>
      </w:pPr>
    </w:p>
    <w:p w14:paraId="712C99D0" w14:textId="3A31121E" w:rsidR="00295DB1" w:rsidRDefault="00132BF3" w:rsidP="00295DB1">
      <w:pPr>
        <w:spacing w:after="200"/>
        <w:jc w:val="right"/>
        <w:rPr>
          <w:rFonts w:ascii="Calibri" w:hAnsi="Calibri"/>
          <w:color w:val="000000"/>
          <w:sz w:val="16"/>
          <w:szCs w:val="22"/>
          <w:lang w:val="es-CR" w:eastAsia="es-CR"/>
        </w:rPr>
      </w:pPr>
      <w:r>
        <w:rPr>
          <w:rFonts w:ascii="Calibri" w:hAnsi="Calibri"/>
          <w:color w:val="000000"/>
          <w:sz w:val="16"/>
          <w:szCs w:val="22"/>
          <w:lang w:val="es-CR" w:eastAsia="es-CR"/>
        </w:rPr>
        <w:t>19</w:t>
      </w:r>
      <w:r w:rsidR="005741EF" w:rsidRPr="000A283F">
        <w:rPr>
          <w:rFonts w:ascii="Calibri" w:hAnsi="Calibri"/>
          <w:color w:val="000000"/>
          <w:sz w:val="16"/>
          <w:szCs w:val="22"/>
          <w:lang w:val="es-CR" w:eastAsia="es-CR"/>
        </w:rPr>
        <w:t>-1</w:t>
      </w:r>
      <w:r>
        <w:rPr>
          <w:rFonts w:ascii="Calibri" w:hAnsi="Calibri"/>
          <w:color w:val="000000"/>
          <w:sz w:val="16"/>
          <w:szCs w:val="22"/>
          <w:lang w:val="es-CR" w:eastAsia="es-CR"/>
        </w:rPr>
        <w:t>0</w:t>
      </w:r>
      <w:r w:rsidR="005741EF" w:rsidRPr="000A283F">
        <w:rPr>
          <w:rFonts w:ascii="Calibri" w:hAnsi="Calibri"/>
          <w:color w:val="000000"/>
          <w:sz w:val="16"/>
          <w:szCs w:val="22"/>
          <w:lang w:val="es-CR" w:eastAsia="es-CR"/>
        </w:rPr>
        <w:t>-</w:t>
      </w:r>
      <w:r w:rsidR="00465590" w:rsidRPr="000A283F">
        <w:rPr>
          <w:rFonts w:ascii="Calibri" w:hAnsi="Calibri"/>
          <w:color w:val="000000"/>
          <w:sz w:val="16"/>
          <w:szCs w:val="22"/>
          <w:lang w:val="es-CR" w:eastAsia="es-CR"/>
        </w:rPr>
        <w:t>201</w:t>
      </w:r>
      <w:r>
        <w:rPr>
          <w:rFonts w:ascii="Calibri" w:hAnsi="Calibri"/>
          <w:color w:val="000000"/>
          <w:sz w:val="16"/>
          <w:szCs w:val="22"/>
          <w:lang w:val="es-CR" w:eastAsia="es-CR"/>
        </w:rPr>
        <w:t>6</w:t>
      </w:r>
    </w:p>
    <w:p w14:paraId="76B83F6A" w14:textId="77777777" w:rsidR="000A283F" w:rsidRPr="000A283F" w:rsidRDefault="000A283F" w:rsidP="00295DB1">
      <w:pPr>
        <w:spacing w:after="200"/>
        <w:jc w:val="right"/>
        <w:rPr>
          <w:rFonts w:ascii="Calibri" w:hAnsi="Calibri"/>
          <w:color w:val="000000"/>
          <w:sz w:val="16"/>
          <w:szCs w:val="22"/>
          <w:lang w:val="es-CR" w:eastAsia="es-CR"/>
        </w:rPr>
      </w:pPr>
    </w:p>
    <w:p w14:paraId="795FE7A3" w14:textId="5D0E61AB" w:rsidR="00D43E0A" w:rsidRPr="000A283F" w:rsidRDefault="00132BF3" w:rsidP="00D43E0A">
      <w:pPr>
        <w:autoSpaceDE w:val="0"/>
        <w:autoSpaceDN w:val="0"/>
        <w:adjustRightInd w:val="0"/>
        <w:spacing w:after="120"/>
        <w:ind w:left="720"/>
        <w:contextualSpacing/>
        <w:jc w:val="center"/>
        <w:rPr>
          <w:rFonts w:ascii="Calibri" w:hAnsi="Calibri"/>
          <w:b/>
          <w:sz w:val="36"/>
          <w:szCs w:val="34"/>
          <w:lang w:val="es-CR" w:eastAsia="es-CR"/>
        </w:rPr>
      </w:pPr>
      <w:r>
        <w:rPr>
          <w:rFonts w:ascii="Calibri" w:hAnsi="Calibri"/>
          <w:b/>
          <w:sz w:val="36"/>
          <w:szCs w:val="34"/>
          <w:lang w:val="es-CR" w:eastAsia="es-CR"/>
        </w:rPr>
        <w:t>Excedentes del</w:t>
      </w:r>
      <w:r w:rsidR="005741EF" w:rsidRPr="000A283F">
        <w:rPr>
          <w:rFonts w:ascii="Calibri" w:hAnsi="Calibri"/>
          <w:b/>
          <w:sz w:val="36"/>
          <w:szCs w:val="34"/>
          <w:lang w:val="es-CR" w:eastAsia="es-CR"/>
        </w:rPr>
        <w:t xml:space="preserve"> SOA </w:t>
      </w:r>
      <w:r>
        <w:rPr>
          <w:rFonts w:ascii="Calibri" w:hAnsi="Calibri"/>
          <w:b/>
          <w:sz w:val="36"/>
          <w:szCs w:val="34"/>
          <w:lang w:val="es-CR" w:eastAsia="es-CR"/>
        </w:rPr>
        <w:t xml:space="preserve">disminuyen primas </w:t>
      </w:r>
      <w:r w:rsidR="00673FCD">
        <w:rPr>
          <w:rFonts w:ascii="Calibri" w:hAnsi="Calibri"/>
          <w:b/>
          <w:sz w:val="36"/>
          <w:szCs w:val="34"/>
          <w:lang w:val="es-CR" w:eastAsia="es-CR"/>
        </w:rPr>
        <w:t>del</w:t>
      </w:r>
      <w:r>
        <w:rPr>
          <w:rFonts w:ascii="Calibri" w:hAnsi="Calibri"/>
          <w:b/>
          <w:sz w:val="36"/>
          <w:szCs w:val="34"/>
          <w:lang w:val="es-CR" w:eastAsia="es-CR"/>
        </w:rPr>
        <w:t xml:space="preserve"> </w:t>
      </w:r>
      <w:r w:rsidR="00673FCD">
        <w:rPr>
          <w:rFonts w:ascii="Calibri" w:hAnsi="Calibri"/>
          <w:b/>
          <w:sz w:val="36"/>
          <w:szCs w:val="34"/>
          <w:lang w:val="es-CR" w:eastAsia="es-CR"/>
        </w:rPr>
        <w:t xml:space="preserve">SOA </w:t>
      </w:r>
      <w:r>
        <w:rPr>
          <w:rFonts w:ascii="Calibri" w:hAnsi="Calibri"/>
          <w:b/>
          <w:sz w:val="36"/>
          <w:szCs w:val="34"/>
          <w:lang w:val="es-CR" w:eastAsia="es-CR"/>
        </w:rPr>
        <w:t>2017</w:t>
      </w:r>
    </w:p>
    <w:p w14:paraId="6F4642C3" w14:textId="77777777" w:rsidR="00D43E0A" w:rsidRPr="000A283F" w:rsidRDefault="00D43E0A" w:rsidP="00D43E0A">
      <w:pPr>
        <w:autoSpaceDE w:val="0"/>
        <w:autoSpaceDN w:val="0"/>
        <w:adjustRightInd w:val="0"/>
        <w:spacing w:after="120"/>
        <w:ind w:left="720"/>
        <w:contextualSpacing/>
        <w:rPr>
          <w:rFonts w:ascii="Calibri" w:hAnsi="Calibri"/>
          <w:b/>
          <w:szCs w:val="22"/>
          <w:lang w:val="es-CR" w:eastAsia="es-CR"/>
        </w:rPr>
      </w:pPr>
    </w:p>
    <w:p w14:paraId="1C16651D" w14:textId="77777777" w:rsidR="00673FCD" w:rsidRDefault="00673FCD" w:rsidP="00673FCD">
      <w:pPr>
        <w:numPr>
          <w:ilvl w:val="0"/>
          <w:numId w:val="2"/>
        </w:numPr>
        <w:autoSpaceDE w:val="0"/>
        <w:autoSpaceDN w:val="0"/>
        <w:adjustRightInd w:val="0"/>
        <w:spacing w:after="120"/>
        <w:contextualSpacing/>
        <w:rPr>
          <w:rFonts w:ascii="Calibri" w:hAnsi="Calibri"/>
          <w:i/>
          <w:sz w:val="22"/>
          <w:szCs w:val="22"/>
          <w:lang w:val="es-CR" w:eastAsia="es-CR"/>
        </w:rPr>
      </w:pPr>
      <w:r>
        <w:rPr>
          <w:rFonts w:ascii="Calibri" w:hAnsi="Calibri"/>
          <w:i/>
          <w:sz w:val="22"/>
          <w:szCs w:val="22"/>
          <w:lang w:val="es-CR" w:eastAsia="es-CR"/>
        </w:rPr>
        <w:t>Próximo año primas podrían ser más elevadas</w:t>
      </w:r>
    </w:p>
    <w:p w14:paraId="7FF5840C" w14:textId="45194BCC" w:rsidR="00A065FE" w:rsidRDefault="00A065FE" w:rsidP="00A065FE">
      <w:pPr>
        <w:numPr>
          <w:ilvl w:val="0"/>
          <w:numId w:val="2"/>
        </w:numPr>
        <w:autoSpaceDE w:val="0"/>
        <w:autoSpaceDN w:val="0"/>
        <w:adjustRightInd w:val="0"/>
        <w:spacing w:after="120"/>
        <w:contextualSpacing/>
        <w:rPr>
          <w:rFonts w:ascii="Calibri" w:hAnsi="Calibri"/>
          <w:i/>
          <w:sz w:val="22"/>
          <w:szCs w:val="22"/>
          <w:lang w:val="es-CR" w:eastAsia="es-CR"/>
        </w:rPr>
      </w:pPr>
      <w:r>
        <w:rPr>
          <w:rFonts w:ascii="Calibri" w:hAnsi="Calibri"/>
          <w:i/>
          <w:sz w:val="22"/>
          <w:szCs w:val="22"/>
          <w:lang w:val="es-CR" w:eastAsia="es-CR"/>
        </w:rPr>
        <w:t xml:space="preserve">Prima media ponderada sube </w:t>
      </w:r>
      <w:r w:rsidRPr="00A065FE">
        <w:rPr>
          <w:rFonts w:ascii="Calibri" w:hAnsi="Calibri"/>
          <w:i/>
          <w:sz w:val="22"/>
          <w:szCs w:val="22"/>
          <w:lang w:val="es-CR" w:eastAsia="es-CR"/>
        </w:rPr>
        <w:t>¢1.939</w:t>
      </w:r>
    </w:p>
    <w:p w14:paraId="0A845396" w14:textId="77777777" w:rsidR="00350337" w:rsidRPr="000A283F" w:rsidRDefault="00350337" w:rsidP="00A82C8B">
      <w:pPr>
        <w:autoSpaceDE w:val="0"/>
        <w:autoSpaceDN w:val="0"/>
        <w:adjustRightInd w:val="0"/>
        <w:spacing w:after="120"/>
        <w:ind w:left="720"/>
        <w:contextualSpacing/>
        <w:rPr>
          <w:rFonts w:ascii="Calibri" w:hAnsi="Calibri"/>
          <w:i/>
          <w:sz w:val="22"/>
          <w:szCs w:val="22"/>
          <w:lang w:val="es-CR" w:eastAsia="es-CR"/>
        </w:rPr>
      </w:pPr>
    </w:p>
    <w:p w14:paraId="11874516" w14:textId="70BD91E5" w:rsidR="00607BD0" w:rsidRPr="00A065FE" w:rsidRDefault="00607BD0" w:rsidP="00607BD0">
      <w:pPr>
        <w:autoSpaceDE w:val="0"/>
        <w:autoSpaceDN w:val="0"/>
        <w:adjustRightInd w:val="0"/>
        <w:spacing w:after="200"/>
        <w:jc w:val="both"/>
        <w:rPr>
          <w:rFonts w:asciiTheme="minorHAnsi" w:hAnsiTheme="minorHAnsi"/>
          <w:lang w:val="es-CR" w:eastAsia="es-CR"/>
        </w:rPr>
      </w:pPr>
      <w:r w:rsidRPr="00A065FE">
        <w:rPr>
          <w:rFonts w:asciiTheme="minorHAnsi" w:hAnsiTheme="minorHAnsi"/>
          <w:lang w:val="es-CR" w:eastAsia="es-CR"/>
        </w:rPr>
        <w:t>L</w:t>
      </w:r>
      <w:r w:rsidR="00295DB1" w:rsidRPr="00A065FE">
        <w:rPr>
          <w:rFonts w:asciiTheme="minorHAnsi" w:hAnsiTheme="minorHAnsi"/>
          <w:lang w:val="es-CR" w:eastAsia="es-CR"/>
        </w:rPr>
        <w:t xml:space="preserve">a Superintendencia General de Seguros (Sugese), </w:t>
      </w:r>
      <w:r w:rsidR="0006123C" w:rsidRPr="00A065FE">
        <w:rPr>
          <w:rFonts w:asciiTheme="minorHAnsi" w:hAnsiTheme="minorHAnsi"/>
          <w:lang w:val="es-CR" w:eastAsia="es-CR"/>
        </w:rPr>
        <w:t>autorizó</w:t>
      </w:r>
      <w:r w:rsidR="007A0208" w:rsidRPr="00A065FE">
        <w:rPr>
          <w:rFonts w:asciiTheme="minorHAnsi" w:hAnsiTheme="minorHAnsi"/>
          <w:lang w:val="es-CR" w:eastAsia="es-CR"/>
        </w:rPr>
        <w:t xml:space="preserve"> hoy</w:t>
      </w:r>
      <w:r w:rsidR="00295DB1" w:rsidRPr="00A065FE">
        <w:rPr>
          <w:rFonts w:asciiTheme="minorHAnsi" w:hAnsiTheme="minorHAnsi"/>
          <w:lang w:val="es-CR" w:eastAsia="es-CR"/>
        </w:rPr>
        <w:t xml:space="preserve"> las</w:t>
      </w:r>
      <w:r w:rsidR="0094432D" w:rsidRPr="00A065FE">
        <w:rPr>
          <w:rFonts w:asciiTheme="minorHAnsi" w:hAnsiTheme="minorHAnsi"/>
          <w:lang w:val="es-CR" w:eastAsia="es-CR"/>
        </w:rPr>
        <w:t xml:space="preserve"> nuevas</w:t>
      </w:r>
      <w:r w:rsidR="00295DB1" w:rsidRPr="00A065FE">
        <w:rPr>
          <w:rFonts w:asciiTheme="minorHAnsi" w:hAnsiTheme="minorHAnsi"/>
          <w:lang w:val="es-CR" w:eastAsia="es-CR"/>
        </w:rPr>
        <w:t xml:space="preserve"> tarifas del Seguro Obligatorio de Automóviles (SOA)</w:t>
      </w:r>
      <w:r w:rsidR="00090F51" w:rsidRPr="00A065FE">
        <w:rPr>
          <w:rFonts w:asciiTheme="minorHAnsi" w:hAnsiTheme="minorHAnsi"/>
          <w:lang w:val="es-CR" w:eastAsia="es-CR"/>
        </w:rPr>
        <w:t>,</w:t>
      </w:r>
      <w:r w:rsidR="00295DB1" w:rsidRPr="00A065FE">
        <w:rPr>
          <w:rFonts w:asciiTheme="minorHAnsi" w:hAnsiTheme="minorHAnsi"/>
          <w:lang w:val="es-CR" w:eastAsia="es-CR"/>
        </w:rPr>
        <w:t xml:space="preserve"> </w:t>
      </w:r>
      <w:r w:rsidR="00090F51" w:rsidRPr="00A065FE">
        <w:rPr>
          <w:rFonts w:asciiTheme="minorHAnsi" w:hAnsiTheme="minorHAnsi"/>
          <w:lang w:val="es-CR" w:eastAsia="es-CR"/>
        </w:rPr>
        <w:t>correspondientes a</w:t>
      </w:r>
      <w:r w:rsidR="00AA6890" w:rsidRPr="00A065FE">
        <w:rPr>
          <w:rFonts w:asciiTheme="minorHAnsi" w:hAnsiTheme="minorHAnsi"/>
          <w:lang w:val="es-CR" w:eastAsia="es-CR"/>
        </w:rPr>
        <w:t>l</w:t>
      </w:r>
      <w:r w:rsidR="00295DB1" w:rsidRPr="00A065FE">
        <w:rPr>
          <w:rFonts w:asciiTheme="minorHAnsi" w:hAnsiTheme="minorHAnsi"/>
          <w:lang w:val="es-CR" w:eastAsia="es-CR"/>
        </w:rPr>
        <w:t xml:space="preserve"> período 201</w:t>
      </w:r>
      <w:r w:rsidR="00132BF3" w:rsidRPr="00A065FE">
        <w:rPr>
          <w:rFonts w:asciiTheme="minorHAnsi" w:hAnsiTheme="minorHAnsi"/>
          <w:lang w:val="es-CR" w:eastAsia="es-CR"/>
        </w:rPr>
        <w:t>7</w:t>
      </w:r>
      <w:r w:rsidRPr="00A065FE">
        <w:rPr>
          <w:rFonts w:asciiTheme="minorHAnsi" w:hAnsiTheme="minorHAnsi"/>
          <w:lang w:val="es-CR" w:eastAsia="es-CR"/>
        </w:rPr>
        <w:t>, solicitadas por el Instituto Nacional de Seguros (INS)</w:t>
      </w:r>
      <w:r w:rsidR="005741EF" w:rsidRPr="00A065FE">
        <w:rPr>
          <w:rFonts w:asciiTheme="minorHAnsi" w:hAnsiTheme="minorHAnsi"/>
          <w:lang w:val="es-CR" w:eastAsia="es-CR"/>
        </w:rPr>
        <w:t xml:space="preserve">, </w:t>
      </w:r>
      <w:r w:rsidR="00673FCD" w:rsidRPr="00A065FE">
        <w:rPr>
          <w:rFonts w:asciiTheme="minorHAnsi" w:hAnsiTheme="minorHAnsi"/>
          <w:lang w:val="es-CR" w:eastAsia="es-CR"/>
        </w:rPr>
        <w:t>entidad que hasta el momento es la única oferente de</w:t>
      </w:r>
      <w:r w:rsidR="00A065FE">
        <w:rPr>
          <w:rFonts w:asciiTheme="minorHAnsi" w:hAnsiTheme="minorHAnsi"/>
          <w:lang w:val="es-CR" w:eastAsia="es-CR"/>
        </w:rPr>
        <w:t xml:space="preserve"> este producto.</w:t>
      </w:r>
    </w:p>
    <w:p w14:paraId="0D721B30" w14:textId="77777777" w:rsidR="00676840" w:rsidRPr="00A065FE" w:rsidRDefault="00A82C8B" w:rsidP="00A82C8B">
      <w:pPr>
        <w:autoSpaceDE w:val="0"/>
        <w:autoSpaceDN w:val="0"/>
        <w:adjustRightInd w:val="0"/>
        <w:spacing w:after="200"/>
        <w:jc w:val="both"/>
        <w:rPr>
          <w:rFonts w:asciiTheme="minorHAnsi" w:hAnsiTheme="minorHAnsi"/>
          <w:lang w:val="es-CR" w:eastAsia="es-CR"/>
        </w:rPr>
      </w:pPr>
      <w:r w:rsidRPr="00A065FE">
        <w:rPr>
          <w:rFonts w:asciiTheme="minorHAnsi" w:hAnsiTheme="minorHAnsi"/>
          <w:lang w:val="es-CR" w:eastAsia="es-CR"/>
        </w:rPr>
        <w:t xml:space="preserve">El SOA es un </w:t>
      </w:r>
      <w:r w:rsidR="009029EC" w:rsidRPr="00A065FE">
        <w:rPr>
          <w:rFonts w:asciiTheme="minorHAnsi" w:hAnsiTheme="minorHAnsi"/>
          <w:lang w:val="es-CR" w:eastAsia="es-CR"/>
        </w:rPr>
        <w:t xml:space="preserve">seguro </w:t>
      </w:r>
      <w:r w:rsidR="00C120DD" w:rsidRPr="00A065FE">
        <w:rPr>
          <w:rFonts w:asciiTheme="minorHAnsi" w:hAnsiTheme="minorHAnsi"/>
          <w:lang w:val="es-CR" w:eastAsia="es-CR"/>
        </w:rPr>
        <w:t>obligatorio</w:t>
      </w:r>
      <w:r w:rsidR="009029EC" w:rsidRPr="00A065FE">
        <w:rPr>
          <w:rFonts w:asciiTheme="minorHAnsi" w:hAnsiTheme="minorHAnsi"/>
          <w:lang w:val="es-CR" w:eastAsia="es-CR"/>
        </w:rPr>
        <w:t xml:space="preserve"> </w:t>
      </w:r>
      <w:r w:rsidRPr="00A065FE">
        <w:rPr>
          <w:rFonts w:asciiTheme="minorHAnsi" w:hAnsiTheme="minorHAnsi"/>
          <w:lang w:val="es-CR" w:eastAsia="es-CR"/>
        </w:rPr>
        <w:t>ante los riesgos de la circulación y la seguridad vial que enfrenta</w:t>
      </w:r>
      <w:r w:rsidR="009029EC" w:rsidRPr="00A065FE">
        <w:rPr>
          <w:rFonts w:asciiTheme="minorHAnsi" w:hAnsiTheme="minorHAnsi"/>
          <w:lang w:val="es-CR" w:eastAsia="es-CR"/>
        </w:rPr>
        <w:t xml:space="preserve"> diariamente la ciudadanía</w:t>
      </w:r>
      <w:r w:rsidR="00B92F36" w:rsidRPr="00A065FE">
        <w:rPr>
          <w:rFonts w:asciiTheme="minorHAnsi" w:hAnsiTheme="minorHAnsi"/>
          <w:lang w:val="es-CR" w:eastAsia="es-CR"/>
        </w:rPr>
        <w:t>.</w:t>
      </w:r>
      <w:r w:rsidR="009029EC" w:rsidRPr="00A065FE">
        <w:rPr>
          <w:rFonts w:asciiTheme="minorHAnsi" w:hAnsiTheme="minorHAnsi"/>
          <w:lang w:val="es-CR" w:eastAsia="es-CR"/>
        </w:rPr>
        <w:t xml:space="preserve"> Su naturaleza es de </w:t>
      </w:r>
      <w:r w:rsidR="00B92F36" w:rsidRPr="00A065FE">
        <w:rPr>
          <w:rFonts w:asciiTheme="minorHAnsi" w:hAnsiTheme="minorHAnsi"/>
          <w:lang w:val="es-CR" w:eastAsia="es-CR"/>
        </w:rPr>
        <w:t>responsabilidad civil objetiva</w:t>
      </w:r>
      <w:r w:rsidR="002D3657" w:rsidRPr="00A065FE">
        <w:rPr>
          <w:rFonts w:asciiTheme="minorHAnsi" w:hAnsiTheme="minorHAnsi"/>
          <w:lang w:val="es-CR" w:eastAsia="es-CR"/>
        </w:rPr>
        <w:t>,</w:t>
      </w:r>
      <w:r w:rsidR="00B92F36" w:rsidRPr="00A065FE">
        <w:rPr>
          <w:rFonts w:asciiTheme="minorHAnsi" w:hAnsiTheme="minorHAnsi"/>
          <w:lang w:val="es-CR" w:eastAsia="es-CR"/>
        </w:rPr>
        <w:t xml:space="preserve"> </w:t>
      </w:r>
      <w:r w:rsidR="009029EC" w:rsidRPr="00A065FE">
        <w:rPr>
          <w:rFonts w:asciiTheme="minorHAnsi" w:hAnsiTheme="minorHAnsi"/>
          <w:lang w:val="es-CR" w:eastAsia="es-CR"/>
        </w:rPr>
        <w:t xml:space="preserve">y </w:t>
      </w:r>
      <w:r w:rsidR="00B92F36" w:rsidRPr="00A065FE">
        <w:rPr>
          <w:rFonts w:asciiTheme="minorHAnsi" w:hAnsiTheme="minorHAnsi"/>
          <w:lang w:val="es-CR" w:eastAsia="es-CR"/>
        </w:rPr>
        <w:t xml:space="preserve">no requiere la declaración de culpabilidad para que el lesionado </w:t>
      </w:r>
      <w:r w:rsidR="009029EC" w:rsidRPr="00A065FE">
        <w:rPr>
          <w:rFonts w:asciiTheme="minorHAnsi" w:hAnsiTheme="minorHAnsi"/>
          <w:lang w:val="es-CR" w:eastAsia="es-CR"/>
        </w:rPr>
        <w:t>puede optar por la cobertura de este seguro</w:t>
      </w:r>
      <w:r w:rsidR="00676840" w:rsidRPr="00A065FE">
        <w:rPr>
          <w:rFonts w:asciiTheme="minorHAnsi" w:hAnsiTheme="minorHAnsi"/>
          <w:lang w:val="es-CR" w:eastAsia="es-CR"/>
        </w:rPr>
        <w:t>, o en su defecto para que los familiares de las víctimas por muerte puedan recibir la indemnización correspondiente</w:t>
      </w:r>
      <w:r w:rsidR="00B92F36" w:rsidRPr="00A065FE">
        <w:rPr>
          <w:rFonts w:asciiTheme="minorHAnsi" w:hAnsiTheme="minorHAnsi"/>
          <w:lang w:val="es-CR" w:eastAsia="es-CR"/>
        </w:rPr>
        <w:t>.</w:t>
      </w:r>
      <w:r w:rsidR="00676840" w:rsidRPr="00A065FE">
        <w:rPr>
          <w:rFonts w:asciiTheme="minorHAnsi" w:hAnsiTheme="minorHAnsi"/>
        </w:rPr>
        <w:t xml:space="preserve"> </w:t>
      </w:r>
    </w:p>
    <w:p w14:paraId="1AC072FB" w14:textId="5564D4A6" w:rsidR="00673FCD" w:rsidRPr="00A065FE" w:rsidRDefault="00673FCD" w:rsidP="00673FCD">
      <w:pPr>
        <w:jc w:val="both"/>
        <w:rPr>
          <w:rFonts w:asciiTheme="minorHAnsi" w:hAnsiTheme="minorHAnsi"/>
          <w:lang w:val="es-CR" w:eastAsia="es-CR"/>
        </w:rPr>
      </w:pPr>
      <w:r w:rsidRPr="00A065FE">
        <w:rPr>
          <w:rFonts w:asciiTheme="minorHAnsi" w:hAnsiTheme="minorHAnsi"/>
          <w:lang w:val="es-CR" w:eastAsia="es-CR"/>
        </w:rPr>
        <w:t xml:space="preserve">Por segundo año consecutivo se aplicó un descuento a las primas del SOA, </w:t>
      </w:r>
      <w:r w:rsidR="004360A4" w:rsidRPr="00A065FE">
        <w:rPr>
          <w:rFonts w:asciiTheme="minorHAnsi" w:hAnsiTheme="minorHAnsi"/>
          <w:lang w:val="es-CR" w:eastAsia="es-CR"/>
        </w:rPr>
        <w:t>según lo</w:t>
      </w:r>
      <w:r w:rsidRPr="00A065FE">
        <w:rPr>
          <w:rFonts w:asciiTheme="minorHAnsi" w:hAnsiTheme="minorHAnsi"/>
          <w:lang w:val="es-CR" w:eastAsia="es-CR"/>
        </w:rPr>
        <w:t xml:space="preserve"> establecido por la Contraloría General de la República, la cual determinó que los excedentes que se presentaron en los años 2007 y 2008 en exceso del 25% sobre las primas</w:t>
      </w:r>
      <w:r w:rsidR="004360A4" w:rsidRPr="00A065FE">
        <w:rPr>
          <w:rFonts w:asciiTheme="minorHAnsi" w:hAnsiTheme="minorHAnsi"/>
          <w:lang w:val="es-CR" w:eastAsia="es-CR"/>
        </w:rPr>
        <w:t xml:space="preserve"> de este seguro</w:t>
      </w:r>
      <w:r w:rsidRPr="00A065FE">
        <w:rPr>
          <w:rFonts w:asciiTheme="minorHAnsi" w:hAnsiTheme="minorHAnsi"/>
          <w:lang w:val="es-CR" w:eastAsia="es-CR"/>
        </w:rPr>
        <w:t xml:space="preserve">, debían aplicarse como un ajuste a la </w:t>
      </w:r>
      <w:r w:rsidR="004360A4" w:rsidRPr="00A065FE">
        <w:rPr>
          <w:rFonts w:asciiTheme="minorHAnsi" w:hAnsiTheme="minorHAnsi"/>
          <w:lang w:val="es-CR" w:eastAsia="es-CR"/>
        </w:rPr>
        <w:t xml:space="preserve">baja. </w:t>
      </w:r>
      <w:r w:rsidRPr="00A065FE">
        <w:rPr>
          <w:rFonts w:asciiTheme="minorHAnsi" w:hAnsiTheme="minorHAnsi"/>
          <w:lang w:val="es-CR" w:eastAsia="es-CR"/>
        </w:rPr>
        <w:t>De esta forma, los excedentes del 2007 se aplicaron a</w:t>
      </w:r>
      <w:r w:rsidR="004360A4" w:rsidRPr="00A065FE">
        <w:rPr>
          <w:rFonts w:asciiTheme="minorHAnsi" w:hAnsiTheme="minorHAnsi"/>
          <w:lang w:val="es-CR" w:eastAsia="es-CR"/>
        </w:rPr>
        <w:t xml:space="preserve"> </w:t>
      </w:r>
      <w:r w:rsidRPr="00A065FE">
        <w:rPr>
          <w:rFonts w:asciiTheme="minorHAnsi" w:hAnsiTheme="minorHAnsi"/>
          <w:lang w:val="es-CR" w:eastAsia="es-CR"/>
        </w:rPr>
        <w:t>l</w:t>
      </w:r>
      <w:r w:rsidR="004360A4" w:rsidRPr="00A065FE">
        <w:rPr>
          <w:rFonts w:asciiTheme="minorHAnsi" w:hAnsiTheme="minorHAnsi"/>
          <w:lang w:val="es-CR" w:eastAsia="es-CR"/>
        </w:rPr>
        <w:t>as primas del SOA</w:t>
      </w:r>
      <w:r w:rsidRPr="00A065FE">
        <w:rPr>
          <w:rFonts w:asciiTheme="minorHAnsi" w:hAnsiTheme="minorHAnsi"/>
          <w:lang w:val="es-CR" w:eastAsia="es-CR"/>
        </w:rPr>
        <w:t xml:space="preserve"> del 2016 y los correspondientes al 2008 se aplicarán para </w:t>
      </w:r>
      <w:r w:rsidR="004360A4" w:rsidRPr="00A065FE">
        <w:rPr>
          <w:rFonts w:asciiTheme="minorHAnsi" w:hAnsiTheme="minorHAnsi"/>
          <w:lang w:val="es-CR" w:eastAsia="es-CR"/>
        </w:rPr>
        <w:t>las</w:t>
      </w:r>
      <w:r w:rsidRPr="00A065FE">
        <w:rPr>
          <w:rFonts w:asciiTheme="minorHAnsi" w:hAnsiTheme="minorHAnsi"/>
          <w:lang w:val="es-CR" w:eastAsia="es-CR"/>
        </w:rPr>
        <w:t xml:space="preserve"> del 2017</w:t>
      </w:r>
      <w:r w:rsidR="004360A4" w:rsidRPr="00A065FE">
        <w:rPr>
          <w:rFonts w:asciiTheme="minorHAnsi" w:hAnsiTheme="minorHAnsi"/>
          <w:lang w:val="es-CR" w:eastAsia="es-CR"/>
        </w:rPr>
        <w:t xml:space="preserve">, </w:t>
      </w:r>
      <w:r w:rsidR="00A065FE">
        <w:rPr>
          <w:rFonts w:asciiTheme="minorHAnsi" w:hAnsiTheme="minorHAnsi"/>
          <w:lang w:val="es-CR" w:eastAsia="es-CR"/>
        </w:rPr>
        <w:t>lo que significa u</w:t>
      </w:r>
      <w:r w:rsidR="004360A4" w:rsidRPr="00A065FE">
        <w:rPr>
          <w:rFonts w:asciiTheme="minorHAnsi" w:hAnsiTheme="minorHAnsi"/>
          <w:lang w:val="es-CR" w:eastAsia="es-CR"/>
        </w:rPr>
        <w:t>n 4.56% menos</w:t>
      </w:r>
      <w:r w:rsidR="00F924D1" w:rsidRPr="00A065FE">
        <w:rPr>
          <w:rFonts w:asciiTheme="minorHAnsi" w:hAnsiTheme="minorHAnsi"/>
          <w:lang w:val="es-CR" w:eastAsia="es-CR"/>
        </w:rPr>
        <w:t xml:space="preserve"> en</w:t>
      </w:r>
      <w:r w:rsidR="00A065FE">
        <w:rPr>
          <w:rFonts w:asciiTheme="minorHAnsi" w:hAnsiTheme="minorHAnsi"/>
          <w:lang w:val="es-CR" w:eastAsia="es-CR"/>
        </w:rPr>
        <w:t xml:space="preserve"> el monto de</w:t>
      </w:r>
      <w:r w:rsidR="00F924D1" w:rsidRPr="00A065FE">
        <w:rPr>
          <w:rFonts w:asciiTheme="minorHAnsi" w:hAnsiTheme="minorHAnsi"/>
          <w:lang w:val="es-CR" w:eastAsia="es-CR"/>
        </w:rPr>
        <w:t xml:space="preserve"> las primas</w:t>
      </w:r>
      <w:r w:rsidR="001E4541">
        <w:rPr>
          <w:rFonts w:asciiTheme="minorHAnsi" w:hAnsiTheme="minorHAnsi"/>
          <w:lang w:val="es-CR" w:eastAsia="es-CR"/>
        </w:rPr>
        <w:t xml:space="preserve">. </w:t>
      </w:r>
      <w:r w:rsidR="00A065FE">
        <w:rPr>
          <w:rFonts w:asciiTheme="minorHAnsi" w:hAnsiTheme="minorHAnsi"/>
          <w:lang w:val="es-CR" w:eastAsia="es-CR"/>
        </w:rPr>
        <w:t xml:space="preserve"> </w:t>
      </w:r>
    </w:p>
    <w:p w14:paraId="12705215" w14:textId="77777777" w:rsidR="00F924D1" w:rsidRPr="00A065FE" w:rsidRDefault="00F924D1" w:rsidP="00673FCD">
      <w:pPr>
        <w:jc w:val="both"/>
        <w:rPr>
          <w:rFonts w:asciiTheme="minorHAnsi" w:hAnsiTheme="minorHAnsi"/>
          <w:lang w:val="es-CR" w:eastAsia="es-CR"/>
        </w:rPr>
      </w:pPr>
    </w:p>
    <w:p w14:paraId="6407D029" w14:textId="30B34098" w:rsidR="00673FCD" w:rsidRPr="00A065FE" w:rsidRDefault="001E4541" w:rsidP="00673FCD">
      <w:pPr>
        <w:jc w:val="both"/>
        <w:rPr>
          <w:rFonts w:asciiTheme="minorHAnsi" w:hAnsiTheme="minorHAnsi"/>
          <w:lang w:val="es-CR" w:eastAsia="es-CR"/>
        </w:rPr>
      </w:pPr>
      <w:r>
        <w:rPr>
          <w:rFonts w:asciiTheme="minorHAnsi" w:hAnsiTheme="minorHAnsi"/>
          <w:lang w:val="es-CR" w:eastAsia="es-CR"/>
        </w:rPr>
        <w:t xml:space="preserve">No obstante, de igual forma se presenta un </w:t>
      </w:r>
      <w:r w:rsidR="00F924D1" w:rsidRPr="00A065FE">
        <w:rPr>
          <w:rFonts w:asciiTheme="minorHAnsi" w:hAnsiTheme="minorHAnsi"/>
          <w:lang w:val="es-CR" w:eastAsia="es-CR"/>
        </w:rPr>
        <w:t xml:space="preserve">incremento en la prima media ponderada de ¢1.939, siendo de ¢2.996 para las motos y bicimotos y de ¢1.696 para los vehículos particulares. Los vehículos de equipo especial no presentan ningún ajuste para este periodo. </w:t>
      </w:r>
    </w:p>
    <w:p w14:paraId="613B4834" w14:textId="77777777" w:rsidR="00F924D1" w:rsidRPr="00A065FE" w:rsidRDefault="00F924D1" w:rsidP="00673FCD">
      <w:pPr>
        <w:jc w:val="both"/>
        <w:rPr>
          <w:rFonts w:asciiTheme="minorHAnsi" w:hAnsiTheme="minorHAnsi"/>
          <w:lang w:val="es-CR" w:eastAsia="es-CR"/>
        </w:rPr>
      </w:pPr>
    </w:p>
    <w:p w14:paraId="17B8772B" w14:textId="65673F68" w:rsidR="00673FCD" w:rsidRPr="00A065FE" w:rsidRDefault="00F924D1" w:rsidP="00676840">
      <w:pPr>
        <w:autoSpaceDE w:val="0"/>
        <w:autoSpaceDN w:val="0"/>
        <w:adjustRightInd w:val="0"/>
        <w:spacing w:after="200"/>
        <w:jc w:val="both"/>
        <w:rPr>
          <w:rFonts w:asciiTheme="minorHAnsi" w:hAnsiTheme="minorHAnsi"/>
          <w:lang w:val="es-CR" w:eastAsia="es-CR"/>
        </w:rPr>
      </w:pPr>
      <w:r w:rsidRPr="00A065FE">
        <w:rPr>
          <w:rFonts w:asciiTheme="minorHAnsi" w:hAnsiTheme="minorHAnsi"/>
          <w:i/>
          <w:lang w:val="es-CR" w:eastAsia="es-CR"/>
        </w:rPr>
        <w:t>“Es importante que las personas estén conscientes que la aplicación de estos excedentes hicieron posible que los aumentos en las primas fueran menores para el 2017, no obstante, es de esperar que par</w:t>
      </w:r>
      <w:r w:rsidR="00273AB1">
        <w:rPr>
          <w:rFonts w:asciiTheme="minorHAnsi" w:hAnsiTheme="minorHAnsi"/>
          <w:i/>
          <w:lang w:val="es-CR" w:eastAsia="es-CR"/>
        </w:rPr>
        <w:t>a el próximo período el aumento, de mantenerse la incidencia de accidentes, será mayor. La siniestralidad del seguro es soportada por todos los propietarios de vehículos de manera solidaria, según la clase del automotor en los términos que estipula la Ley</w:t>
      </w:r>
      <w:r w:rsidRPr="00A065FE">
        <w:rPr>
          <w:rFonts w:asciiTheme="minorHAnsi" w:hAnsiTheme="minorHAnsi"/>
          <w:i/>
          <w:lang w:val="es-CR" w:eastAsia="es-CR"/>
        </w:rPr>
        <w:t xml:space="preserve">”, </w:t>
      </w:r>
      <w:r w:rsidRPr="00A065FE">
        <w:rPr>
          <w:rFonts w:asciiTheme="minorHAnsi" w:hAnsiTheme="minorHAnsi"/>
          <w:lang w:val="es-CR" w:eastAsia="es-CR"/>
        </w:rPr>
        <w:t>aseguró el Superintendente de Seguros Tomás Soley Pérez.</w:t>
      </w:r>
    </w:p>
    <w:p w14:paraId="18477A0E" w14:textId="08CB7288" w:rsidR="00086F5A" w:rsidRPr="00A065FE" w:rsidRDefault="00A065FE" w:rsidP="00D141D8">
      <w:pPr>
        <w:autoSpaceDE w:val="0"/>
        <w:autoSpaceDN w:val="0"/>
        <w:adjustRightInd w:val="0"/>
        <w:spacing w:after="200"/>
        <w:jc w:val="both"/>
        <w:rPr>
          <w:rFonts w:asciiTheme="minorHAnsi" w:hAnsiTheme="minorHAnsi"/>
          <w:lang w:val="es-CR" w:eastAsia="es-CR"/>
        </w:rPr>
      </w:pPr>
      <w:r>
        <w:rPr>
          <w:rFonts w:asciiTheme="minorHAnsi" w:hAnsiTheme="minorHAnsi"/>
          <w:lang w:val="es-CR" w:eastAsia="es-CR"/>
        </w:rPr>
        <w:t>E</w:t>
      </w:r>
      <w:r w:rsidR="00086F5A" w:rsidRPr="00A065FE">
        <w:rPr>
          <w:rFonts w:asciiTheme="minorHAnsi" w:hAnsiTheme="minorHAnsi"/>
          <w:lang w:val="es-CR" w:eastAsia="es-CR"/>
        </w:rPr>
        <w:t>l S</w:t>
      </w:r>
      <w:r w:rsidR="00D141D8" w:rsidRPr="00A065FE">
        <w:rPr>
          <w:rFonts w:asciiTheme="minorHAnsi" w:hAnsiTheme="minorHAnsi"/>
          <w:lang w:val="es-CR" w:eastAsia="es-CR"/>
        </w:rPr>
        <w:t xml:space="preserve">OA </w:t>
      </w:r>
      <w:r>
        <w:rPr>
          <w:rFonts w:asciiTheme="minorHAnsi" w:hAnsiTheme="minorHAnsi"/>
          <w:lang w:val="es-CR" w:eastAsia="es-CR"/>
        </w:rPr>
        <w:t>es el segundo c</w:t>
      </w:r>
      <w:r w:rsidR="00086F5A" w:rsidRPr="00A065FE">
        <w:rPr>
          <w:rFonts w:asciiTheme="minorHAnsi" w:hAnsiTheme="minorHAnsi"/>
          <w:lang w:val="es-CR" w:eastAsia="es-CR"/>
        </w:rPr>
        <w:t>omponente</w:t>
      </w:r>
      <w:r>
        <w:rPr>
          <w:rFonts w:asciiTheme="minorHAnsi" w:hAnsiTheme="minorHAnsi"/>
          <w:lang w:val="es-CR" w:eastAsia="es-CR"/>
        </w:rPr>
        <w:t xml:space="preserve"> en importancia</w:t>
      </w:r>
      <w:r w:rsidR="00086F5A" w:rsidRPr="00A065FE">
        <w:rPr>
          <w:rFonts w:asciiTheme="minorHAnsi" w:hAnsiTheme="minorHAnsi"/>
          <w:lang w:val="es-CR" w:eastAsia="es-CR"/>
        </w:rPr>
        <w:t xml:space="preserve"> del marchamo</w:t>
      </w:r>
      <w:r>
        <w:rPr>
          <w:rFonts w:asciiTheme="minorHAnsi" w:hAnsiTheme="minorHAnsi"/>
          <w:lang w:val="es-CR" w:eastAsia="es-CR"/>
        </w:rPr>
        <w:t xml:space="preserve"> </w:t>
      </w:r>
      <w:r w:rsidR="00086F5A" w:rsidRPr="00A065FE">
        <w:rPr>
          <w:rFonts w:asciiTheme="minorHAnsi" w:hAnsiTheme="minorHAnsi"/>
          <w:lang w:val="es-CR" w:eastAsia="es-CR"/>
        </w:rPr>
        <w:t xml:space="preserve">y no </w:t>
      </w:r>
      <w:r>
        <w:rPr>
          <w:rFonts w:asciiTheme="minorHAnsi" w:hAnsiTheme="minorHAnsi"/>
          <w:lang w:val="es-CR" w:eastAsia="es-CR"/>
        </w:rPr>
        <w:t>corresponde al monto total de</w:t>
      </w:r>
      <w:r w:rsidR="00086F5A" w:rsidRPr="00A065FE">
        <w:rPr>
          <w:rFonts w:asciiTheme="minorHAnsi" w:hAnsiTheme="minorHAnsi"/>
          <w:lang w:val="es-CR" w:eastAsia="es-CR"/>
        </w:rPr>
        <w:t xml:space="preserve">l cobro por derecho de circulación de la flota vehicular, </w:t>
      </w:r>
      <w:r>
        <w:rPr>
          <w:rFonts w:asciiTheme="minorHAnsi" w:hAnsiTheme="minorHAnsi"/>
          <w:lang w:val="es-CR" w:eastAsia="es-CR"/>
        </w:rPr>
        <w:t>dado que se incluye el</w:t>
      </w:r>
      <w:r w:rsidR="00086F5A" w:rsidRPr="00A065FE">
        <w:rPr>
          <w:rFonts w:asciiTheme="minorHAnsi" w:hAnsiTheme="minorHAnsi"/>
          <w:lang w:val="es-CR" w:eastAsia="es-CR"/>
        </w:rPr>
        <w:t xml:space="preserve"> impuesto </w:t>
      </w:r>
      <w:r w:rsidR="00D141D8" w:rsidRPr="00A065FE">
        <w:rPr>
          <w:rFonts w:asciiTheme="minorHAnsi" w:hAnsiTheme="minorHAnsi"/>
          <w:lang w:val="es-CR" w:eastAsia="es-CR"/>
        </w:rPr>
        <w:t>a la propiedad del vehículo, impuesto del Consejo de Seguridad Vial (COSEVI), municipalidades,</w:t>
      </w:r>
      <w:r w:rsidR="00086F5A" w:rsidRPr="00A065FE">
        <w:rPr>
          <w:rFonts w:asciiTheme="minorHAnsi" w:hAnsiTheme="minorHAnsi"/>
          <w:lang w:val="es-CR" w:eastAsia="es-CR"/>
        </w:rPr>
        <w:t xml:space="preserve"> multas</w:t>
      </w:r>
      <w:r w:rsidRPr="00A065FE">
        <w:rPr>
          <w:rFonts w:asciiTheme="minorHAnsi" w:hAnsiTheme="minorHAnsi"/>
          <w:lang w:val="es-CR" w:eastAsia="es-CR"/>
        </w:rPr>
        <w:t>, timbre</w:t>
      </w:r>
      <w:r w:rsidR="00D141D8" w:rsidRPr="00A065FE">
        <w:rPr>
          <w:rFonts w:asciiTheme="minorHAnsi" w:hAnsiTheme="minorHAnsi"/>
          <w:lang w:val="es-CR" w:eastAsia="es-CR"/>
        </w:rPr>
        <w:t xml:space="preserve"> de fauna silvestre, entre otros.</w:t>
      </w:r>
      <w:r w:rsidR="00B92F36" w:rsidRPr="00A065FE">
        <w:rPr>
          <w:rFonts w:asciiTheme="minorHAnsi" w:hAnsiTheme="minorHAnsi"/>
          <w:lang w:val="es-CR" w:eastAsia="es-CR"/>
        </w:rPr>
        <w:t xml:space="preserve"> </w:t>
      </w:r>
    </w:p>
    <w:p w14:paraId="7E48BCFB" w14:textId="34FB7312" w:rsidR="00D141D8" w:rsidRPr="00A065FE" w:rsidRDefault="00086F5A" w:rsidP="00D141D8">
      <w:pPr>
        <w:autoSpaceDE w:val="0"/>
        <w:autoSpaceDN w:val="0"/>
        <w:adjustRightInd w:val="0"/>
        <w:spacing w:after="200"/>
        <w:jc w:val="both"/>
        <w:rPr>
          <w:rFonts w:asciiTheme="minorHAnsi" w:hAnsiTheme="minorHAnsi"/>
          <w:lang w:val="es-CR" w:eastAsia="es-CR"/>
        </w:rPr>
      </w:pPr>
      <w:r w:rsidRPr="00A065FE">
        <w:rPr>
          <w:rFonts w:asciiTheme="minorHAnsi" w:hAnsiTheme="minorHAnsi"/>
          <w:lang w:val="es-CR" w:eastAsia="es-CR"/>
        </w:rPr>
        <w:lastRenderedPageBreak/>
        <w:t>S</w:t>
      </w:r>
      <w:r w:rsidR="00051A05" w:rsidRPr="00A065FE">
        <w:rPr>
          <w:rFonts w:asciiTheme="minorHAnsi" w:hAnsiTheme="minorHAnsi"/>
          <w:lang w:val="es-CR" w:eastAsia="es-CR"/>
        </w:rPr>
        <w:t xml:space="preserve">e les recuerda a </w:t>
      </w:r>
      <w:r w:rsidR="009D1429" w:rsidRPr="00A065FE">
        <w:rPr>
          <w:rFonts w:asciiTheme="minorHAnsi" w:hAnsiTheme="minorHAnsi"/>
          <w:lang w:val="es-CR" w:eastAsia="es-CR"/>
        </w:rPr>
        <w:t xml:space="preserve">las personas que tengan algún inconveniente al momento de hacer uso del </w:t>
      </w:r>
      <w:r w:rsidRPr="00A065FE">
        <w:rPr>
          <w:rFonts w:asciiTheme="minorHAnsi" w:hAnsiTheme="minorHAnsi"/>
          <w:lang w:val="es-CR" w:eastAsia="es-CR"/>
        </w:rPr>
        <w:t>SOA,</w:t>
      </w:r>
      <w:r w:rsidR="009D1429" w:rsidRPr="00A065FE">
        <w:rPr>
          <w:rFonts w:asciiTheme="minorHAnsi" w:hAnsiTheme="minorHAnsi"/>
          <w:lang w:val="es-CR" w:eastAsia="es-CR"/>
        </w:rPr>
        <w:t xml:space="preserve"> que pueden plantear sus denuncias y consultas </w:t>
      </w:r>
      <w:r w:rsidRPr="00A065FE">
        <w:rPr>
          <w:rFonts w:asciiTheme="minorHAnsi" w:hAnsiTheme="minorHAnsi"/>
          <w:lang w:val="es-CR" w:eastAsia="es-CR"/>
        </w:rPr>
        <w:t xml:space="preserve">en primera instancia a la Defensoría del Consumidor de Seguros del INS, a los </w:t>
      </w:r>
      <w:r w:rsidR="00D141D8" w:rsidRPr="00A065FE">
        <w:rPr>
          <w:rFonts w:asciiTheme="minorHAnsi" w:hAnsiTheme="minorHAnsi"/>
          <w:lang w:val="es-CR" w:eastAsia="es-CR"/>
        </w:rPr>
        <w:t>teléfono</w:t>
      </w:r>
      <w:r w:rsidRPr="00A065FE">
        <w:rPr>
          <w:rFonts w:asciiTheme="minorHAnsi" w:hAnsiTheme="minorHAnsi"/>
          <w:lang w:val="es-CR" w:eastAsia="es-CR"/>
        </w:rPr>
        <w:t>s</w:t>
      </w:r>
      <w:r w:rsidR="00D141D8" w:rsidRPr="00A065FE">
        <w:rPr>
          <w:rFonts w:asciiTheme="minorHAnsi" w:hAnsiTheme="minorHAnsi"/>
          <w:lang w:val="es-CR" w:eastAsia="es-CR"/>
        </w:rPr>
        <w:t xml:space="preserve"> </w:t>
      </w:r>
      <w:r w:rsidRPr="00A065FE">
        <w:rPr>
          <w:rFonts w:asciiTheme="minorHAnsi" w:hAnsiTheme="minorHAnsi"/>
          <w:lang w:val="es-CR" w:eastAsia="es-CR"/>
        </w:rPr>
        <w:t>2287-6</w:t>
      </w:r>
      <w:r w:rsidR="00A065FE">
        <w:rPr>
          <w:rFonts w:asciiTheme="minorHAnsi" w:hAnsiTheme="minorHAnsi"/>
          <w:lang w:val="es-CR" w:eastAsia="es-CR"/>
        </w:rPr>
        <w:t>161 o</w:t>
      </w:r>
      <w:r w:rsidR="00F4039F" w:rsidRPr="00A065FE">
        <w:rPr>
          <w:rFonts w:asciiTheme="minorHAnsi" w:hAnsiTheme="minorHAnsi"/>
          <w:lang w:val="es-CR" w:eastAsia="es-CR"/>
        </w:rPr>
        <w:t xml:space="preserve"> al correo </w:t>
      </w:r>
      <w:hyperlink r:id="rId8" w:history="1">
        <w:r w:rsidR="00A065FE" w:rsidRPr="00A065FE">
          <w:rPr>
            <w:rFonts w:asciiTheme="minorHAnsi" w:hAnsiTheme="minorHAnsi" w:cs="Arial"/>
            <w:color w:val="0000FF"/>
            <w:u w:val="single"/>
            <w:shd w:val="clear" w:color="auto" w:fill="FFFFFF"/>
          </w:rPr>
          <w:t>cservicios@ins-cr.com</w:t>
        </w:r>
      </w:hyperlink>
      <w:r w:rsidRPr="00A065FE">
        <w:rPr>
          <w:rFonts w:asciiTheme="minorHAnsi" w:hAnsiTheme="minorHAnsi"/>
        </w:rPr>
        <w:t>. De persistir el problema, puede comunicarse a l</w:t>
      </w:r>
      <w:r w:rsidR="007E7723" w:rsidRPr="00A065FE">
        <w:rPr>
          <w:rFonts w:asciiTheme="minorHAnsi" w:hAnsiTheme="minorHAnsi"/>
        </w:rPr>
        <w:t>a Sugese al teléfono 2243-5108 o</w:t>
      </w:r>
      <w:r w:rsidRPr="00A065FE">
        <w:rPr>
          <w:rFonts w:asciiTheme="minorHAnsi" w:hAnsiTheme="minorHAnsi"/>
        </w:rPr>
        <w:t xml:space="preserve"> al correo </w:t>
      </w:r>
      <w:hyperlink r:id="rId9" w:history="1">
        <w:r w:rsidRPr="00A065FE">
          <w:rPr>
            <w:rStyle w:val="Hipervnculo"/>
            <w:rFonts w:asciiTheme="minorHAnsi" w:hAnsiTheme="minorHAnsi"/>
          </w:rPr>
          <w:t>sugese@sugese.fi.cr</w:t>
        </w:r>
      </w:hyperlink>
      <w:r w:rsidR="00A065FE">
        <w:rPr>
          <w:rFonts w:asciiTheme="minorHAnsi" w:hAnsiTheme="minorHAnsi"/>
        </w:rPr>
        <w:t>.</w:t>
      </w:r>
    </w:p>
    <w:p w14:paraId="1AFCAC03" w14:textId="77777777" w:rsidR="007776D6" w:rsidRPr="000A283F" w:rsidRDefault="007776D6" w:rsidP="007776D6">
      <w:pPr>
        <w:tabs>
          <w:tab w:val="left" w:pos="3686"/>
        </w:tabs>
        <w:spacing w:after="200"/>
        <w:jc w:val="center"/>
        <w:rPr>
          <w:rFonts w:ascii="Calibri" w:hAnsi="Calibri"/>
          <w:b/>
          <w:sz w:val="22"/>
          <w:szCs w:val="22"/>
          <w:lang w:val="es-CR" w:eastAsia="es-CR"/>
        </w:rPr>
      </w:pPr>
      <w:r w:rsidRPr="000A283F">
        <w:rPr>
          <w:rFonts w:ascii="Calibri" w:hAnsi="Calibri"/>
          <w:b/>
          <w:sz w:val="22"/>
          <w:szCs w:val="22"/>
          <w:lang w:val="es-CR" w:eastAsia="es-CR"/>
        </w:rPr>
        <w:t>Cuadro #1</w:t>
      </w:r>
    </w:p>
    <w:p w14:paraId="6A5FA8EF" w14:textId="45B66560" w:rsidR="007776D6" w:rsidRDefault="007776D6" w:rsidP="007776D6">
      <w:pPr>
        <w:tabs>
          <w:tab w:val="left" w:pos="3686"/>
        </w:tabs>
        <w:spacing w:after="200"/>
        <w:jc w:val="center"/>
        <w:rPr>
          <w:rFonts w:ascii="Calibri" w:hAnsi="Calibri"/>
          <w:b/>
          <w:sz w:val="22"/>
          <w:szCs w:val="22"/>
          <w:lang w:val="es-CR" w:eastAsia="es-CR"/>
        </w:rPr>
      </w:pPr>
      <w:r w:rsidRPr="000A283F">
        <w:rPr>
          <w:rFonts w:ascii="Calibri" w:hAnsi="Calibri"/>
          <w:b/>
          <w:sz w:val="22"/>
          <w:szCs w:val="22"/>
          <w:lang w:val="es-CR" w:eastAsia="es-CR"/>
        </w:rPr>
        <w:t xml:space="preserve">Seguro Obligatorio </w:t>
      </w:r>
      <w:r w:rsidR="007E7723" w:rsidRPr="000A283F">
        <w:rPr>
          <w:rFonts w:ascii="Calibri" w:hAnsi="Calibri"/>
          <w:b/>
          <w:sz w:val="22"/>
          <w:szCs w:val="22"/>
          <w:lang w:val="es-CR" w:eastAsia="es-CR"/>
        </w:rPr>
        <w:t>Automotor 201</w:t>
      </w:r>
      <w:r w:rsidR="00F924D1">
        <w:rPr>
          <w:rFonts w:ascii="Calibri" w:hAnsi="Calibri"/>
          <w:b/>
          <w:sz w:val="22"/>
          <w:szCs w:val="22"/>
          <w:lang w:val="es-CR" w:eastAsia="es-CR"/>
        </w:rPr>
        <w:t>7</w:t>
      </w:r>
    </w:p>
    <w:tbl>
      <w:tblPr>
        <w:tblW w:w="8156"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70" w:type="dxa"/>
          <w:right w:w="70" w:type="dxa"/>
        </w:tblCellMar>
        <w:tblLook w:val="04A0" w:firstRow="1" w:lastRow="0" w:firstColumn="1" w:lastColumn="0" w:noHBand="0" w:noVBand="1"/>
      </w:tblPr>
      <w:tblGrid>
        <w:gridCol w:w="2540"/>
        <w:gridCol w:w="1200"/>
        <w:gridCol w:w="1312"/>
        <w:gridCol w:w="1205"/>
        <w:gridCol w:w="1961"/>
      </w:tblGrid>
      <w:tr w:rsidR="00F924D1" w:rsidRPr="00B2449A" w14:paraId="7A601268" w14:textId="77777777" w:rsidTr="000D2F64">
        <w:trPr>
          <w:trHeight w:val="765"/>
          <w:jc w:val="center"/>
        </w:trPr>
        <w:tc>
          <w:tcPr>
            <w:tcW w:w="2540" w:type="dxa"/>
            <w:shd w:val="clear" w:color="auto" w:fill="365F91" w:themeFill="accent1" w:themeFillShade="BF"/>
            <w:vAlign w:val="center"/>
            <w:hideMark/>
          </w:tcPr>
          <w:p w14:paraId="01ED1806" w14:textId="77777777" w:rsidR="00F924D1" w:rsidRPr="00B2449A" w:rsidRDefault="00F924D1" w:rsidP="000D2F64">
            <w:pPr>
              <w:jc w:val="both"/>
              <w:rPr>
                <w:rFonts w:asciiTheme="majorHAnsi" w:hAnsiTheme="majorHAnsi"/>
                <w:b/>
                <w:bCs/>
                <w:color w:val="FFFFFF" w:themeColor="background1"/>
                <w:lang w:val="es-CR" w:eastAsia="es-CR"/>
              </w:rPr>
            </w:pPr>
            <w:r w:rsidRPr="00B2449A">
              <w:rPr>
                <w:rFonts w:asciiTheme="majorHAnsi" w:hAnsiTheme="majorHAnsi"/>
                <w:b/>
                <w:bCs/>
                <w:color w:val="FFFFFF" w:themeColor="background1"/>
                <w:lang w:val="es-CR" w:eastAsia="es-CR"/>
              </w:rPr>
              <w:t>Tipo de Vehículo</w:t>
            </w:r>
          </w:p>
        </w:tc>
        <w:tc>
          <w:tcPr>
            <w:tcW w:w="1200" w:type="dxa"/>
            <w:shd w:val="clear" w:color="auto" w:fill="365F91" w:themeFill="accent1" w:themeFillShade="BF"/>
            <w:vAlign w:val="center"/>
            <w:hideMark/>
          </w:tcPr>
          <w:p w14:paraId="7FBF3EFF" w14:textId="77777777" w:rsidR="00F924D1" w:rsidRPr="00B2449A" w:rsidRDefault="00F924D1" w:rsidP="008F321E">
            <w:pPr>
              <w:jc w:val="center"/>
              <w:rPr>
                <w:rFonts w:asciiTheme="majorHAnsi" w:hAnsiTheme="majorHAnsi"/>
                <w:b/>
                <w:bCs/>
                <w:color w:val="FFFFFF" w:themeColor="background1"/>
                <w:lang w:val="es-CR" w:eastAsia="es-CR"/>
              </w:rPr>
            </w:pPr>
            <w:r w:rsidRPr="00B2449A">
              <w:rPr>
                <w:rFonts w:asciiTheme="majorHAnsi" w:hAnsiTheme="majorHAnsi"/>
                <w:b/>
                <w:bCs/>
                <w:color w:val="FFFFFF" w:themeColor="background1"/>
                <w:lang w:val="es-CR" w:eastAsia="es-CR"/>
              </w:rPr>
              <w:t>Primas vigentes 2016</w:t>
            </w:r>
          </w:p>
        </w:tc>
        <w:tc>
          <w:tcPr>
            <w:tcW w:w="1255" w:type="dxa"/>
            <w:shd w:val="clear" w:color="auto" w:fill="365F91" w:themeFill="accent1" w:themeFillShade="BF"/>
            <w:vAlign w:val="center"/>
            <w:hideMark/>
          </w:tcPr>
          <w:p w14:paraId="66E0ABE8" w14:textId="446DCCFF" w:rsidR="00F924D1" w:rsidRPr="00B2449A" w:rsidRDefault="00F924D1" w:rsidP="008F321E">
            <w:pPr>
              <w:jc w:val="center"/>
              <w:rPr>
                <w:rFonts w:asciiTheme="majorHAnsi" w:hAnsiTheme="majorHAnsi"/>
                <w:b/>
                <w:bCs/>
                <w:color w:val="FFFFFF" w:themeColor="background1"/>
                <w:lang w:val="es-CR" w:eastAsia="es-CR"/>
              </w:rPr>
            </w:pPr>
            <w:r w:rsidRPr="00B2449A">
              <w:rPr>
                <w:rFonts w:asciiTheme="majorHAnsi" w:hAnsiTheme="majorHAnsi"/>
                <w:b/>
                <w:bCs/>
                <w:color w:val="FFFFFF" w:themeColor="background1"/>
                <w:lang w:val="es-CR" w:eastAsia="es-CR"/>
              </w:rPr>
              <w:t xml:space="preserve">Primas </w:t>
            </w:r>
            <w:r w:rsidR="008F321E">
              <w:rPr>
                <w:rFonts w:asciiTheme="majorHAnsi" w:hAnsiTheme="majorHAnsi"/>
                <w:b/>
                <w:bCs/>
                <w:color w:val="FFFFFF" w:themeColor="background1"/>
                <w:lang w:val="es-CR" w:eastAsia="es-CR"/>
              </w:rPr>
              <w:t>aprobadas</w:t>
            </w:r>
            <w:r w:rsidRPr="00B2449A">
              <w:rPr>
                <w:rFonts w:asciiTheme="majorHAnsi" w:hAnsiTheme="majorHAnsi"/>
                <w:b/>
                <w:bCs/>
                <w:color w:val="FFFFFF" w:themeColor="background1"/>
                <w:lang w:val="es-CR" w:eastAsia="es-CR"/>
              </w:rPr>
              <w:t xml:space="preserve"> 2017</w:t>
            </w:r>
          </w:p>
        </w:tc>
        <w:tc>
          <w:tcPr>
            <w:tcW w:w="1200" w:type="dxa"/>
            <w:shd w:val="clear" w:color="auto" w:fill="365F91" w:themeFill="accent1" w:themeFillShade="BF"/>
            <w:vAlign w:val="center"/>
            <w:hideMark/>
          </w:tcPr>
          <w:p w14:paraId="542FCA02" w14:textId="77777777" w:rsidR="00F924D1" w:rsidRPr="00B2449A" w:rsidRDefault="00F924D1" w:rsidP="008F321E">
            <w:pPr>
              <w:jc w:val="center"/>
              <w:rPr>
                <w:rFonts w:asciiTheme="majorHAnsi" w:hAnsiTheme="majorHAnsi"/>
                <w:b/>
                <w:bCs/>
                <w:color w:val="FFFFFF" w:themeColor="background1"/>
                <w:lang w:val="es-CR" w:eastAsia="es-CR"/>
              </w:rPr>
            </w:pPr>
            <w:r w:rsidRPr="00B2449A">
              <w:rPr>
                <w:rFonts w:asciiTheme="majorHAnsi" w:hAnsiTheme="majorHAnsi"/>
                <w:b/>
                <w:bCs/>
                <w:color w:val="FFFFFF" w:themeColor="background1"/>
                <w:lang w:val="es-CR" w:eastAsia="es-CR"/>
              </w:rPr>
              <w:t>Variación absoluta</w:t>
            </w:r>
          </w:p>
        </w:tc>
        <w:tc>
          <w:tcPr>
            <w:tcW w:w="1961" w:type="dxa"/>
            <w:shd w:val="clear" w:color="auto" w:fill="365F91" w:themeFill="accent1" w:themeFillShade="BF"/>
            <w:vAlign w:val="center"/>
            <w:hideMark/>
          </w:tcPr>
          <w:p w14:paraId="486589B0" w14:textId="77777777" w:rsidR="00F924D1" w:rsidRPr="00B2449A" w:rsidRDefault="00F924D1" w:rsidP="008F321E">
            <w:pPr>
              <w:jc w:val="center"/>
              <w:rPr>
                <w:rFonts w:asciiTheme="majorHAnsi" w:hAnsiTheme="majorHAnsi"/>
                <w:b/>
                <w:bCs/>
                <w:color w:val="FFFFFF" w:themeColor="background1"/>
                <w:lang w:val="es-CR" w:eastAsia="es-CR"/>
              </w:rPr>
            </w:pPr>
            <w:r w:rsidRPr="00B2449A">
              <w:rPr>
                <w:rFonts w:asciiTheme="majorHAnsi" w:hAnsiTheme="majorHAnsi"/>
                <w:b/>
                <w:bCs/>
                <w:color w:val="FFFFFF" w:themeColor="background1"/>
                <w:lang w:val="es-CR" w:eastAsia="es-CR"/>
              </w:rPr>
              <w:t>Variación relativa</w:t>
            </w:r>
          </w:p>
        </w:tc>
      </w:tr>
      <w:tr w:rsidR="00F924D1" w:rsidRPr="00B2449A" w14:paraId="06D72205" w14:textId="77777777" w:rsidTr="000D2F64">
        <w:trPr>
          <w:trHeight w:val="255"/>
          <w:jc w:val="center"/>
        </w:trPr>
        <w:tc>
          <w:tcPr>
            <w:tcW w:w="2540" w:type="dxa"/>
            <w:shd w:val="clear" w:color="000000" w:fill="FFFFFF"/>
            <w:hideMark/>
          </w:tcPr>
          <w:p w14:paraId="52AF0815" w14:textId="77777777" w:rsidR="00F924D1" w:rsidRPr="00B2449A" w:rsidRDefault="00F924D1" w:rsidP="000D2F64">
            <w:pPr>
              <w:jc w:val="both"/>
              <w:rPr>
                <w:rFonts w:asciiTheme="majorHAnsi" w:hAnsiTheme="majorHAnsi"/>
                <w:b/>
                <w:bCs/>
                <w:color w:val="000000"/>
                <w:lang w:val="es-CR" w:eastAsia="es-CR"/>
              </w:rPr>
            </w:pPr>
            <w:r w:rsidRPr="00B2449A">
              <w:rPr>
                <w:rFonts w:asciiTheme="majorHAnsi" w:hAnsiTheme="majorHAnsi"/>
                <w:b/>
                <w:bCs/>
                <w:color w:val="000000"/>
                <w:lang w:val="es-CR" w:eastAsia="es-CR"/>
              </w:rPr>
              <w:t> </w:t>
            </w:r>
          </w:p>
        </w:tc>
        <w:tc>
          <w:tcPr>
            <w:tcW w:w="1200" w:type="dxa"/>
            <w:shd w:val="clear" w:color="000000" w:fill="FFFFFF"/>
            <w:hideMark/>
          </w:tcPr>
          <w:p w14:paraId="1FD5E17A" w14:textId="77777777" w:rsidR="00F924D1" w:rsidRPr="00B2449A" w:rsidRDefault="00F924D1" w:rsidP="008F321E">
            <w:pPr>
              <w:jc w:val="center"/>
              <w:rPr>
                <w:rFonts w:asciiTheme="majorHAnsi" w:hAnsiTheme="majorHAnsi"/>
                <w:b/>
                <w:bCs/>
                <w:color w:val="000000"/>
                <w:lang w:val="es-CR" w:eastAsia="es-CR"/>
              </w:rPr>
            </w:pPr>
            <w:r w:rsidRPr="00B2449A">
              <w:rPr>
                <w:rFonts w:asciiTheme="majorHAnsi" w:hAnsiTheme="majorHAnsi"/>
                <w:b/>
                <w:bCs/>
                <w:color w:val="000000"/>
                <w:lang w:val="es-CR" w:eastAsia="es-CR"/>
              </w:rPr>
              <w:t>a</w:t>
            </w:r>
          </w:p>
        </w:tc>
        <w:tc>
          <w:tcPr>
            <w:tcW w:w="1255" w:type="dxa"/>
            <w:shd w:val="clear" w:color="000000" w:fill="FFFFFF"/>
            <w:hideMark/>
          </w:tcPr>
          <w:p w14:paraId="6B37C29C" w14:textId="77777777" w:rsidR="00F924D1" w:rsidRPr="00B2449A" w:rsidRDefault="00F924D1" w:rsidP="008F321E">
            <w:pPr>
              <w:jc w:val="center"/>
              <w:rPr>
                <w:rFonts w:asciiTheme="majorHAnsi" w:hAnsiTheme="majorHAnsi"/>
                <w:b/>
                <w:bCs/>
                <w:color w:val="000000"/>
                <w:lang w:val="es-CR" w:eastAsia="es-CR"/>
              </w:rPr>
            </w:pPr>
            <w:r w:rsidRPr="00B2449A">
              <w:rPr>
                <w:rFonts w:asciiTheme="majorHAnsi" w:hAnsiTheme="majorHAnsi"/>
                <w:b/>
                <w:bCs/>
                <w:color w:val="000000"/>
                <w:lang w:val="es-CR" w:eastAsia="es-CR"/>
              </w:rPr>
              <w:t>b</w:t>
            </w:r>
          </w:p>
        </w:tc>
        <w:tc>
          <w:tcPr>
            <w:tcW w:w="1200" w:type="dxa"/>
            <w:shd w:val="clear" w:color="000000" w:fill="FFFFFF"/>
            <w:noWrap/>
            <w:vAlign w:val="bottom"/>
            <w:hideMark/>
          </w:tcPr>
          <w:p w14:paraId="5531CAD7" w14:textId="77777777" w:rsidR="00F924D1" w:rsidRPr="00B2449A" w:rsidRDefault="00F924D1" w:rsidP="008F321E">
            <w:pPr>
              <w:jc w:val="center"/>
              <w:rPr>
                <w:rFonts w:asciiTheme="majorHAnsi" w:hAnsiTheme="majorHAnsi"/>
                <w:b/>
                <w:bCs/>
                <w:color w:val="000000"/>
                <w:lang w:val="es-CR" w:eastAsia="es-CR"/>
              </w:rPr>
            </w:pPr>
            <w:r w:rsidRPr="00B2449A">
              <w:rPr>
                <w:rFonts w:asciiTheme="majorHAnsi" w:hAnsiTheme="majorHAnsi"/>
                <w:b/>
                <w:bCs/>
                <w:color w:val="000000"/>
                <w:lang w:val="es-CR" w:eastAsia="es-CR"/>
              </w:rPr>
              <w:t>b - a</w:t>
            </w:r>
          </w:p>
        </w:tc>
        <w:tc>
          <w:tcPr>
            <w:tcW w:w="1961" w:type="dxa"/>
            <w:shd w:val="clear" w:color="000000" w:fill="FFFFFF"/>
            <w:noWrap/>
            <w:vAlign w:val="bottom"/>
            <w:hideMark/>
          </w:tcPr>
          <w:p w14:paraId="723F70CB" w14:textId="77777777" w:rsidR="00F924D1" w:rsidRPr="00B2449A" w:rsidRDefault="00F924D1" w:rsidP="008F321E">
            <w:pPr>
              <w:jc w:val="center"/>
              <w:rPr>
                <w:rFonts w:asciiTheme="majorHAnsi" w:hAnsiTheme="majorHAnsi"/>
                <w:b/>
                <w:bCs/>
                <w:color w:val="000000"/>
                <w:lang w:val="es-CR" w:eastAsia="es-CR"/>
              </w:rPr>
            </w:pPr>
            <w:r w:rsidRPr="00B2449A">
              <w:rPr>
                <w:rFonts w:asciiTheme="majorHAnsi" w:hAnsiTheme="majorHAnsi"/>
                <w:b/>
                <w:bCs/>
                <w:color w:val="000000"/>
                <w:lang w:val="es-CR" w:eastAsia="es-CR"/>
              </w:rPr>
              <w:t>b / a - 1</w:t>
            </w:r>
          </w:p>
        </w:tc>
      </w:tr>
      <w:tr w:rsidR="00F924D1" w:rsidRPr="00B2449A" w14:paraId="3BCF57A8" w14:textId="77777777" w:rsidTr="000D2F64">
        <w:trPr>
          <w:trHeight w:val="255"/>
          <w:jc w:val="center"/>
        </w:trPr>
        <w:tc>
          <w:tcPr>
            <w:tcW w:w="2540" w:type="dxa"/>
            <w:shd w:val="clear" w:color="auto" w:fill="auto"/>
            <w:noWrap/>
            <w:vAlign w:val="bottom"/>
            <w:hideMark/>
          </w:tcPr>
          <w:p w14:paraId="0640E07A" w14:textId="77777777" w:rsidR="00F924D1" w:rsidRPr="00B2449A" w:rsidRDefault="00F924D1" w:rsidP="000D2F64">
            <w:pPr>
              <w:jc w:val="both"/>
              <w:rPr>
                <w:rFonts w:asciiTheme="majorHAnsi" w:hAnsiTheme="majorHAnsi"/>
                <w:color w:val="000000"/>
                <w:lang w:val="es-CR" w:eastAsia="es-CR"/>
              </w:rPr>
            </w:pPr>
            <w:r w:rsidRPr="00B2449A">
              <w:rPr>
                <w:rFonts w:asciiTheme="majorHAnsi" w:hAnsiTheme="majorHAnsi"/>
                <w:color w:val="000000"/>
                <w:lang w:val="es-CR" w:eastAsia="es-CR"/>
              </w:rPr>
              <w:t>Particular</w:t>
            </w:r>
          </w:p>
        </w:tc>
        <w:tc>
          <w:tcPr>
            <w:tcW w:w="1200" w:type="dxa"/>
            <w:shd w:val="clear" w:color="auto" w:fill="auto"/>
            <w:noWrap/>
            <w:hideMark/>
          </w:tcPr>
          <w:p w14:paraId="01F066D1"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19.958</w:t>
            </w:r>
          </w:p>
        </w:tc>
        <w:tc>
          <w:tcPr>
            <w:tcW w:w="1255" w:type="dxa"/>
            <w:shd w:val="clear" w:color="auto" w:fill="auto"/>
            <w:noWrap/>
            <w:hideMark/>
          </w:tcPr>
          <w:p w14:paraId="7EA4FFC4"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21.654</w:t>
            </w:r>
          </w:p>
        </w:tc>
        <w:tc>
          <w:tcPr>
            <w:tcW w:w="1200" w:type="dxa"/>
            <w:shd w:val="clear" w:color="auto" w:fill="auto"/>
            <w:noWrap/>
            <w:hideMark/>
          </w:tcPr>
          <w:p w14:paraId="1AF509FA"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 1.696</w:t>
            </w:r>
          </w:p>
        </w:tc>
        <w:tc>
          <w:tcPr>
            <w:tcW w:w="1961" w:type="dxa"/>
            <w:shd w:val="clear" w:color="auto" w:fill="auto"/>
            <w:noWrap/>
            <w:hideMark/>
          </w:tcPr>
          <w:p w14:paraId="458C8B78"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8,5%</w:t>
            </w:r>
          </w:p>
        </w:tc>
      </w:tr>
      <w:tr w:rsidR="00F924D1" w:rsidRPr="00B2449A" w14:paraId="75D3BDB9" w14:textId="77777777" w:rsidTr="000D2F64">
        <w:trPr>
          <w:trHeight w:val="255"/>
          <w:jc w:val="center"/>
        </w:trPr>
        <w:tc>
          <w:tcPr>
            <w:tcW w:w="2540" w:type="dxa"/>
            <w:shd w:val="clear" w:color="auto" w:fill="auto"/>
            <w:noWrap/>
            <w:vAlign w:val="bottom"/>
            <w:hideMark/>
          </w:tcPr>
          <w:p w14:paraId="1C629270" w14:textId="77777777" w:rsidR="00F924D1" w:rsidRPr="00B2449A" w:rsidRDefault="00F924D1" w:rsidP="000D2F64">
            <w:pPr>
              <w:jc w:val="both"/>
              <w:rPr>
                <w:rFonts w:asciiTheme="majorHAnsi" w:hAnsiTheme="majorHAnsi"/>
                <w:color w:val="000000"/>
                <w:lang w:val="es-CR" w:eastAsia="es-CR"/>
              </w:rPr>
            </w:pPr>
            <w:r w:rsidRPr="00B2449A">
              <w:rPr>
                <w:rFonts w:asciiTheme="majorHAnsi" w:hAnsiTheme="majorHAnsi"/>
                <w:color w:val="000000"/>
                <w:lang w:val="es-CR" w:eastAsia="es-CR"/>
              </w:rPr>
              <w:t>Carga Liviana</w:t>
            </w:r>
          </w:p>
        </w:tc>
        <w:tc>
          <w:tcPr>
            <w:tcW w:w="1200" w:type="dxa"/>
            <w:shd w:val="clear" w:color="auto" w:fill="auto"/>
            <w:noWrap/>
            <w:hideMark/>
          </w:tcPr>
          <w:p w14:paraId="0C989454"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15.192</w:t>
            </w:r>
          </w:p>
        </w:tc>
        <w:tc>
          <w:tcPr>
            <w:tcW w:w="1255" w:type="dxa"/>
            <w:shd w:val="clear" w:color="auto" w:fill="auto"/>
            <w:noWrap/>
            <w:hideMark/>
          </w:tcPr>
          <w:p w14:paraId="547F127C"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16.183</w:t>
            </w:r>
          </w:p>
        </w:tc>
        <w:tc>
          <w:tcPr>
            <w:tcW w:w="1200" w:type="dxa"/>
            <w:shd w:val="clear" w:color="auto" w:fill="auto"/>
            <w:noWrap/>
            <w:hideMark/>
          </w:tcPr>
          <w:p w14:paraId="29F51330"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 992</w:t>
            </w:r>
          </w:p>
        </w:tc>
        <w:tc>
          <w:tcPr>
            <w:tcW w:w="1961" w:type="dxa"/>
            <w:shd w:val="clear" w:color="auto" w:fill="auto"/>
            <w:noWrap/>
            <w:hideMark/>
          </w:tcPr>
          <w:p w14:paraId="39EDE0BE"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6,5%</w:t>
            </w:r>
          </w:p>
        </w:tc>
      </w:tr>
      <w:tr w:rsidR="00F924D1" w:rsidRPr="00B2449A" w14:paraId="7505BD97" w14:textId="77777777" w:rsidTr="000D2F64">
        <w:trPr>
          <w:trHeight w:val="255"/>
          <w:jc w:val="center"/>
        </w:trPr>
        <w:tc>
          <w:tcPr>
            <w:tcW w:w="2540" w:type="dxa"/>
            <w:shd w:val="clear" w:color="auto" w:fill="auto"/>
            <w:noWrap/>
            <w:vAlign w:val="bottom"/>
            <w:hideMark/>
          </w:tcPr>
          <w:p w14:paraId="57226734" w14:textId="77777777" w:rsidR="00F924D1" w:rsidRPr="00B2449A" w:rsidRDefault="00F924D1" w:rsidP="000D2F64">
            <w:pPr>
              <w:jc w:val="both"/>
              <w:rPr>
                <w:rFonts w:asciiTheme="majorHAnsi" w:hAnsiTheme="majorHAnsi"/>
                <w:color w:val="000000"/>
                <w:lang w:val="es-CR" w:eastAsia="es-CR"/>
              </w:rPr>
            </w:pPr>
            <w:r w:rsidRPr="00B2449A">
              <w:rPr>
                <w:rFonts w:asciiTheme="majorHAnsi" w:hAnsiTheme="majorHAnsi"/>
                <w:color w:val="000000"/>
                <w:lang w:val="es-CR" w:eastAsia="es-CR"/>
              </w:rPr>
              <w:t>Carga Pesada</w:t>
            </w:r>
          </w:p>
        </w:tc>
        <w:tc>
          <w:tcPr>
            <w:tcW w:w="1200" w:type="dxa"/>
            <w:shd w:val="clear" w:color="auto" w:fill="auto"/>
            <w:noWrap/>
            <w:hideMark/>
          </w:tcPr>
          <w:p w14:paraId="5DDE1F9D"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19.226</w:t>
            </w:r>
          </w:p>
        </w:tc>
        <w:tc>
          <w:tcPr>
            <w:tcW w:w="1255" w:type="dxa"/>
            <w:shd w:val="clear" w:color="auto" w:fill="auto"/>
            <w:noWrap/>
            <w:hideMark/>
          </w:tcPr>
          <w:p w14:paraId="2D6FAF31"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xml:space="preserve">¢ </w:t>
            </w:r>
            <w:bookmarkStart w:id="0" w:name="_GoBack"/>
            <w:bookmarkEnd w:id="0"/>
            <w:r w:rsidRPr="00B2449A">
              <w:rPr>
                <w:rFonts w:asciiTheme="majorHAnsi" w:hAnsiTheme="majorHAnsi"/>
                <w:lang w:val="es-CR"/>
              </w:rPr>
              <w:t>20.307</w:t>
            </w:r>
          </w:p>
        </w:tc>
        <w:tc>
          <w:tcPr>
            <w:tcW w:w="1200" w:type="dxa"/>
            <w:shd w:val="clear" w:color="auto" w:fill="auto"/>
            <w:noWrap/>
            <w:hideMark/>
          </w:tcPr>
          <w:p w14:paraId="30A0A685"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 1.081</w:t>
            </w:r>
          </w:p>
        </w:tc>
        <w:tc>
          <w:tcPr>
            <w:tcW w:w="1961" w:type="dxa"/>
            <w:shd w:val="clear" w:color="auto" w:fill="auto"/>
            <w:noWrap/>
            <w:hideMark/>
          </w:tcPr>
          <w:p w14:paraId="1E210D3E"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5,6%</w:t>
            </w:r>
          </w:p>
        </w:tc>
      </w:tr>
      <w:tr w:rsidR="00F924D1" w:rsidRPr="00B2449A" w14:paraId="30C1F3DB" w14:textId="77777777" w:rsidTr="000D2F64">
        <w:trPr>
          <w:trHeight w:val="255"/>
          <w:jc w:val="center"/>
        </w:trPr>
        <w:tc>
          <w:tcPr>
            <w:tcW w:w="2540" w:type="dxa"/>
            <w:shd w:val="clear" w:color="auto" w:fill="auto"/>
            <w:noWrap/>
            <w:vAlign w:val="bottom"/>
            <w:hideMark/>
          </w:tcPr>
          <w:p w14:paraId="7847414A" w14:textId="77777777" w:rsidR="00F924D1" w:rsidRPr="00B2449A" w:rsidRDefault="00F924D1" w:rsidP="000D2F64">
            <w:pPr>
              <w:jc w:val="both"/>
              <w:rPr>
                <w:rFonts w:asciiTheme="majorHAnsi" w:hAnsiTheme="majorHAnsi"/>
                <w:color w:val="000000"/>
                <w:lang w:val="es-CR" w:eastAsia="es-CR"/>
              </w:rPr>
            </w:pPr>
            <w:r w:rsidRPr="00B2449A">
              <w:rPr>
                <w:rFonts w:asciiTheme="majorHAnsi" w:hAnsiTheme="majorHAnsi"/>
                <w:color w:val="000000"/>
                <w:lang w:val="es-CR" w:eastAsia="es-CR"/>
              </w:rPr>
              <w:t>Motos y Bicimotos</w:t>
            </w:r>
          </w:p>
        </w:tc>
        <w:tc>
          <w:tcPr>
            <w:tcW w:w="1200" w:type="dxa"/>
            <w:shd w:val="clear" w:color="auto" w:fill="auto"/>
            <w:noWrap/>
            <w:hideMark/>
          </w:tcPr>
          <w:p w14:paraId="60A0A266"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58.123</w:t>
            </w:r>
          </w:p>
        </w:tc>
        <w:tc>
          <w:tcPr>
            <w:tcW w:w="1255" w:type="dxa"/>
            <w:shd w:val="clear" w:color="auto" w:fill="auto"/>
            <w:noWrap/>
            <w:hideMark/>
          </w:tcPr>
          <w:p w14:paraId="0D832043"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61.119</w:t>
            </w:r>
          </w:p>
        </w:tc>
        <w:tc>
          <w:tcPr>
            <w:tcW w:w="1200" w:type="dxa"/>
            <w:shd w:val="clear" w:color="auto" w:fill="auto"/>
            <w:noWrap/>
            <w:hideMark/>
          </w:tcPr>
          <w:p w14:paraId="7A7971D1"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 2.996</w:t>
            </w:r>
          </w:p>
        </w:tc>
        <w:tc>
          <w:tcPr>
            <w:tcW w:w="1961" w:type="dxa"/>
            <w:shd w:val="clear" w:color="auto" w:fill="auto"/>
            <w:noWrap/>
            <w:hideMark/>
          </w:tcPr>
          <w:p w14:paraId="20106A12"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5,2%</w:t>
            </w:r>
          </w:p>
        </w:tc>
      </w:tr>
      <w:tr w:rsidR="00F924D1" w:rsidRPr="00B2449A" w14:paraId="2C28890B" w14:textId="77777777" w:rsidTr="000D2F64">
        <w:trPr>
          <w:trHeight w:val="255"/>
          <w:jc w:val="center"/>
        </w:trPr>
        <w:tc>
          <w:tcPr>
            <w:tcW w:w="2540" w:type="dxa"/>
            <w:shd w:val="clear" w:color="auto" w:fill="auto"/>
            <w:noWrap/>
            <w:vAlign w:val="bottom"/>
            <w:hideMark/>
          </w:tcPr>
          <w:p w14:paraId="1BB4DEB2" w14:textId="77777777" w:rsidR="00F924D1" w:rsidRPr="00B2449A" w:rsidRDefault="00F924D1" w:rsidP="000D2F64">
            <w:pPr>
              <w:jc w:val="both"/>
              <w:rPr>
                <w:rFonts w:asciiTheme="majorHAnsi" w:hAnsiTheme="majorHAnsi"/>
                <w:color w:val="000000"/>
                <w:lang w:val="es-CR" w:eastAsia="es-CR"/>
              </w:rPr>
            </w:pPr>
            <w:r w:rsidRPr="00B2449A">
              <w:rPr>
                <w:rFonts w:asciiTheme="majorHAnsi" w:hAnsiTheme="majorHAnsi"/>
                <w:color w:val="000000"/>
                <w:lang w:val="es-CR" w:eastAsia="es-CR"/>
              </w:rPr>
              <w:t>Buses</w:t>
            </w:r>
          </w:p>
        </w:tc>
        <w:tc>
          <w:tcPr>
            <w:tcW w:w="1200" w:type="dxa"/>
            <w:shd w:val="clear" w:color="auto" w:fill="auto"/>
            <w:noWrap/>
            <w:hideMark/>
          </w:tcPr>
          <w:p w14:paraId="04D006BE"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78.374</w:t>
            </w:r>
          </w:p>
        </w:tc>
        <w:tc>
          <w:tcPr>
            <w:tcW w:w="1255" w:type="dxa"/>
            <w:shd w:val="clear" w:color="auto" w:fill="auto"/>
            <w:noWrap/>
            <w:hideMark/>
          </w:tcPr>
          <w:p w14:paraId="3B9F63B7"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86.763</w:t>
            </w:r>
          </w:p>
        </w:tc>
        <w:tc>
          <w:tcPr>
            <w:tcW w:w="1200" w:type="dxa"/>
            <w:shd w:val="clear" w:color="auto" w:fill="auto"/>
            <w:noWrap/>
            <w:hideMark/>
          </w:tcPr>
          <w:p w14:paraId="6CC14243"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 8.389</w:t>
            </w:r>
          </w:p>
        </w:tc>
        <w:tc>
          <w:tcPr>
            <w:tcW w:w="1961" w:type="dxa"/>
            <w:shd w:val="clear" w:color="auto" w:fill="auto"/>
            <w:noWrap/>
            <w:hideMark/>
          </w:tcPr>
          <w:p w14:paraId="4D17FBED"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10,7%</w:t>
            </w:r>
          </w:p>
        </w:tc>
      </w:tr>
      <w:tr w:rsidR="00F924D1" w:rsidRPr="00B2449A" w14:paraId="66C4C3A6" w14:textId="77777777" w:rsidTr="000D2F64">
        <w:trPr>
          <w:trHeight w:val="255"/>
          <w:jc w:val="center"/>
        </w:trPr>
        <w:tc>
          <w:tcPr>
            <w:tcW w:w="2540" w:type="dxa"/>
            <w:shd w:val="clear" w:color="auto" w:fill="auto"/>
            <w:noWrap/>
            <w:vAlign w:val="bottom"/>
            <w:hideMark/>
          </w:tcPr>
          <w:p w14:paraId="2A1E2B96" w14:textId="77777777" w:rsidR="00F924D1" w:rsidRPr="00B2449A" w:rsidRDefault="00F924D1" w:rsidP="000D2F64">
            <w:pPr>
              <w:jc w:val="both"/>
              <w:rPr>
                <w:rFonts w:asciiTheme="majorHAnsi" w:hAnsiTheme="majorHAnsi"/>
                <w:color w:val="000000"/>
                <w:lang w:val="es-CR" w:eastAsia="es-CR"/>
              </w:rPr>
            </w:pPr>
            <w:r w:rsidRPr="00B2449A">
              <w:rPr>
                <w:rFonts w:asciiTheme="majorHAnsi" w:hAnsiTheme="majorHAnsi"/>
                <w:color w:val="000000"/>
                <w:lang w:val="es-CR" w:eastAsia="es-CR"/>
              </w:rPr>
              <w:t>Taxis</w:t>
            </w:r>
          </w:p>
        </w:tc>
        <w:tc>
          <w:tcPr>
            <w:tcW w:w="1200" w:type="dxa"/>
            <w:shd w:val="clear" w:color="auto" w:fill="auto"/>
            <w:noWrap/>
            <w:hideMark/>
          </w:tcPr>
          <w:p w14:paraId="627AE2FF"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60.366</w:t>
            </w:r>
          </w:p>
        </w:tc>
        <w:tc>
          <w:tcPr>
            <w:tcW w:w="1255" w:type="dxa"/>
            <w:shd w:val="clear" w:color="auto" w:fill="auto"/>
            <w:noWrap/>
            <w:hideMark/>
          </w:tcPr>
          <w:p w14:paraId="1F6331BF"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61.778</w:t>
            </w:r>
          </w:p>
        </w:tc>
        <w:tc>
          <w:tcPr>
            <w:tcW w:w="1200" w:type="dxa"/>
            <w:shd w:val="clear" w:color="auto" w:fill="auto"/>
            <w:noWrap/>
            <w:hideMark/>
          </w:tcPr>
          <w:p w14:paraId="3B782F73"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 1.412</w:t>
            </w:r>
          </w:p>
        </w:tc>
        <w:tc>
          <w:tcPr>
            <w:tcW w:w="1961" w:type="dxa"/>
            <w:shd w:val="clear" w:color="auto" w:fill="auto"/>
            <w:noWrap/>
            <w:hideMark/>
          </w:tcPr>
          <w:p w14:paraId="0CC11810"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2,3%</w:t>
            </w:r>
          </w:p>
        </w:tc>
      </w:tr>
      <w:tr w:rsidR="00F924D1" w:rsidRPr="00B2449A" w14:paraId="51C8FC5C" w14:textId="77777777" w:rsidTr="000D2F64">
        <w:trPr>
          <w:trHeight w:val="255"/>
          <w:jc w:val="center"/>
        </w:trPr>
        <w:tc>
          <w:tcPr>
            <w:tcW w:w="2540" w:type="dxa"/>
            <w:shd w:val="clear" w:color="auto" w:fill="auto"/>
            <w:noWrap/>
            <w:vAlign w:val="bottom"/>
            <w:hideMark/>
          </w:tcPr>
          <w:p w14:paraId="2592AD18" w14:textId="77777777" w:rsidR="00F924D1" w:rsidRPr="00B2449A" w:rsidRDefault="00F924D1" w:rsidP="000D2F64">
            <w:pPr>
              <w:jc w:val="both"/>
              <w:rPr>
                <w:rFonts w:asciiTheme="majorHAnsi" w:hAnsiTheme="majorHAnsi"/>
                <w:color w:val="000000"/>
                <w:lang w:val="es-CR" w:eastAsia="es-CR"/>
              </w:rPr>
            </w:pPr>
            <w:r w:rsidRPr="00B2449A">
              <w:rPr>
                <w:rFonts w:asciiTheme="majorHAnsi" w:hAnsiTheme="majorHAnsi"/>
                <w:color w:val="000000"/>
                <w:lang w:val="es-CR" w:eastAsia="es-CR"/>
              </w:rPr>
              <w:t>Equipo especial</w:t>
            </w:r>
          </w:p>
        </w:tc>
        <w:tc>
          <w:tcPr>
            <w:tcW w:w="1200" w:type="dxa"/>
            <w:shd w:val="clear" w:color="auto" w:fill="auto"/>
            <w:noWrap/>
            <w:hideMark/>
          </w:tcPr>
          <w:p w14:paraId="070739E1"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4.926</w:t>
            </w:r>
          </w:p>
        </w:tc>
        <w:tc>
          <w:tcPr>
            <w:tcW w:w="1255" w:type="dxa"/>
            <w:shd w:val="clear" w:color="auto" w:fill="auto"/>
            <w:noWrap/>
            <w:hideMark/>
          </w:tcPr>
          <w:p w14:paraId="3B441D24" w14:textId="77777777" w:rsidR="00F924D1" w:rsidRPr="00B2449A" w:rsidRDefault="00F924D1" w:rsidP="008F321E">
            <w:pPr>
              <w:jc w:val="center"/>
              <w:rPr>
                <w:rFonts w:asciiTheme="majorHAnsi" w:hAnsiTheme="majorHAnsi"/>
                <w:lang w:val="es-CR" w:eastAsia="es-CR"/>
              </w:rPr>
            </w:pPr>
            <w:r w:rsidRPr="00B2449A">
              <w:rPr>
                <w:rFonts w:asciiTheme="majorHAnsi" w:hAnsiTheme="majorHAnsi"/>
                <w:lang w:val="es-CR"/>
              </w:rPr>
              <w:t>¢ 4.926</w:t>
            </w:r>
          </w:p>
        </w:tc>
        <w:tc>
          <w:tcPr>
            <w:tcW w:w="1200" w:type="dxa"/>
            <w:shd w:val="clear" w:color="auto" w:fill="auto"/>
            <w:noWrap/>
            <w:hideMark/>
          </w:tcPr>
          <w:p w14:paraId="3F1ED4F4"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 0</w:t>
            </w:r>
          </w:p>
        </w:tc>
        <w:tc>
          <w:tcPr>
            <w:tcW w:w="1961" w:type="dxa"/>
            <w:shd w:val="clear" w:color="auto" w:fill="auto"/>
            <w:noWrap/>
            <w:hideMark/>
          </w:tcPr>
          <w:p w14:paraId="1CDC7D8B" w14:textId="77777777" w:rsidR="00F924D1" w:rsidRPr="00B2449A" w:rsidRDefault="00F924D1" w:rsidP="008F321E">
            <w:pPr>
              <w:jc w:val="center"/>
              <w:rPr>
                <w:rFonts w:asciiTheme="majorHAnsi" w:hAnsiTheme="majorHAnsi"/>
                <w:color w:val="000000"/>
                <w:lang w:val="es-CR" w:eastAsia="es-CR"/>
              </w:rPr>
            </w:pPr>
            <w:r w:rsidRPr="00B2449A">
              <w:rPr>
                <w:rFonts w:asciiTheme="majorHAnsi" w:hAnsiTheme="majorHAnsi"/>
                <w:lang w:val="es-CR"/>
              </w:rPr>
              <w:t>0,0%</w:t>
            </w:r>
          </w:p>
        </w:tc>
      </w:tr>
      <w:tr w:rsidR="00F924D1" w:rsidRPr="00B2449A" w14:paraId="1DEBF80B" w14:textId="77777777" w:rsidTr="000D2F64">
        <w:trPr>
          <w:trHeight w:val="405"/>
          <w:jc w:val="center"/>
        </w:trPr>
        <w:tc>
          <w:tcPr>
            <w:tcW w:w="2540" w:type="dxa"/>
            <w:shd w:val="clear" w:color="auto" w:fill="DBE5F1" w:themeFill="accent1" w:themeFillTint="33"/>
            <w:noWrap/>
            <w:vAlign w:val="center"/>
            <w:hideMark/>
          </w:tcPr>
          <w:p w14:paraId="26863E79" w14:textId="77777777" w:rsidR="00F924D1" w:rsidRPr="00B2449A" w:rsidRDefault="00F924D1" w:rsidP="00A065FE">
            <w:pPr>
              <w:rPr>
                <w:rFonts w:asciiTheme="majorHAnsi" w:hAnsiTheme="majorHAnsi"/>
                <w:b/>
                <w:bCs/>
                <w:color w:val="000000"/>
                <w:lang w:val="es-CR" w:eastAsia="es-CR"/>
              </w:rPr>
            </w:pPr>
            <w:r w:rsidRPr="00B2449A">
              <w:rPr>
                <w:rFonts w:asciiTheme="majorHAnsi" w:hAnsiTheme="majorHAnsi"/>
                <w:b/>
                <w:bCs/>
                <w:color w:val="000000"/>
                <w:lang w:val="es-CR" w:eastAsia="es-CR"/>
              </w:rPr>
              <w:t>Prima media ponderada</w:t>
            </w:r>
          </w:p>
        </w:tc>
        <w:tc>
          <w:tcPr>
            <w:tcW w:w="1200" w:type="dxa"/>
            <w:shd w:val="clear" w:color="auto" w:fill="DBE5F1" w:themeFill="accent1" w:themeFillTint="33"/>
            <w:noWrap/>
            <w:vAlign w:val="center"/>
            <w:hideMark/>
          </w:tcPr>
          <w:p w14:paraId="071774C3" w14:textId="77777777" w:rsidR="00F924D1" w:rsidRPr="00B2449A" w:rsidRDefault="00F924D1" w:rsidP="008F321E">
            <w:pPr>
              <w:jc w:val="center"/>
              <w:rPr>
                <w:rFonts w:asciiTheme="majorHAnsi" w:hAnsiTheme="majorHAnsi"/>
                <w:b/>
                <w:bCs/>
                <w:lang w:val="es-CR" w:eastAsia="es-CR"/>
              </w:rPr>
            </w:pPr>
            <w:r w:rsidRPr="00B2449A">
              <w:rPr>
                <w:rFonts w:asciiTheme="majorHAnsi" w:hAnsiTheme="majorHAnsi"/>
                <w:b/>
                <w:bCs/>
                <w:lang w:val="es-CR" w:eastAsia="es-CR"/>
              </w:rPr>
              <w:t>¢ 28.476</w:t>
            </w:r>
          </w:p>
        </w:tc>
        <w:tc>
          <w:tcPr>
            <w:tcW w:w="1255" w:type="dxa"/>
            <w:shd w:val="clear" w:color="auto" w:fill="DBE5F1" w:themeFill="accent1" w:themeFillTint="33"/>
            <w:noWrap/>
            <w:vAlign w:val="center"/>
            <w:hideMark/>
          </w:tcPr>
          <w:p w14:paraId="29E71749" w14:textId="77777777" w:rsidR="00F924D1" w:rsidRPr="00B2449A" w:rsidRDefault="00F924D1" w:rsidP="008F321E">
            <w:pPr>
              <w:jc w:val="center"/>
              <w:rPr>
                <w:rFonts w:asciiTheme="majorHAnsi" w:hAnsiTheme="majorHAnsi"/>
                <w:b/>
                <w:bCs/>
                <w:lang w:val="es-CR" w:eastAsia="es-CR"/>
              </w:rPr>
            </w:pPr>
            <w:r w:rsidRPr="00B2449A">
              <w:rPr>
                <w:rFonts w:asciiTheme="majorHAnsi" w:hAnsiTheme="majorHAnsi"/>
                <w:b/>
                <w:bCs/>
                <w:lang w:val="es-CR" w:eastAsia="es-CR"/>
              </w:rPr>
              <w:t>¢ 30.415</w:t>
            </w:r>
          </w:p>
        </w:tc>
        <w:tc>
          <w:tcPr>
            <w:tcW w:w="1200" w:type="dxa"/>
            <w:shd w:val="clear" w:color="auto" w:fill="DBE5F1" w:themeFill="accent1" w:themeFillTint="33"/>
            <w:noWrap/>
            <w:vAlign w:val="center"/>
            <w:hideMark/>
          </w:tcPr>
          <w:p w14:paraId="21751913" w14:textId="77777777" w:rsidR="00F924D1" w:rsidRPr="00B2449A" w:rsidRDefault="00F924D1" w:rsidP="008F321E">
            <w:pPr>
              <w:jc w:val="center"/>
              <w:rPr>
                <w:rFonts w:asciiTheme="majorHAnsi" w:hAnsiTheme="majorHAnsi"/>
                <w:b/>
                <w:bCs/>
                <w:color w:val="000000"/>
                <w:lang w:val="es-CR" w:eastAsia="es-CR"/>
              </w:rPr>
            </w:pPr>
            <w:r w:rsidRPr="00B2449A">
              <w:rPr>
                <w:rFonts w:asciiTheme="majorHAnsi" w:hAnsiTheme="majorHAnsi"/>
                <w:b/>
                <w:bCs/>
                <w:color w:val="000000"/>
                <w:lang w:val="es-CR" w:eastAsia="es-CR"/>
              </w:rPr>
              <w:t>¢ 1.939</w:t>
            </w:r>
          </w:p>
        </w:tc>
        <w:tc>
          <w:tcPr>
            <w:tcW w:w="1961" w:type="dxa"/>
            <w:shd w:val="clear" w:color="auto" w:fill="DBE5F1" w:themeFill="accent1" w:themeFillTint="33"/>
            <w:noWrap/>
            <w:vAlign w:val="center"/>
            <w:hideMark/>
          </w:tcPr>
          <w:p w14:paraId="244FA14E" w14:textId="741AB215" w:rsidR="00F924D1" w:rsidRPr="00B2449A" w:rsidRDefault="00F924D1" w:rsidP="008F321E">
            <w:pPr>
              <w:jc w:val="center"/>
              <w:rPr>
                <w:rFonts w:asciiTheme="majorHAnsi" w:hAnsiTheme="majorHAnsi"/>
                <w:b/>
                <w:bCs/>
                <w:color w:val="000000"/>
                <w:lang w:val="es-CR" w:eastAsia="es-CR"/>
              </w:rPr>
            </w:pPr>
            <w:r w:rsidRPr="00B2449A">
              <w:rPr>
                <w:rFonts w:asciiTheme="majorHAnsi" w:hAnsiTheme="majorHAnsi"/>
                <w:b/>
                <w:bCs/>
                <w:color w:val="000000"/>
                <w:lang w:val="es-CR" w:eastAsia="es-CR"/>
              </w:rPr>
              <w:t>6,8%</w:t>
            </w:r>
          </w:p>
        </w:tc>
      </w:tr>
    </w:tbl>
    <w:p w14:paraId="03CB9272" w14:textId="77777777" w:rsidR="00F924D1" w:rsidRDefault="00F924D1" w:rsidP="007776D6">
      <w:pPr>
        <w:tabs>
          <w:tab w:val="left" w:pos="3686"/>
        </w:tabs>
        <w:spacing w:after="200"/>
        <w:jc w:val="center"/>
        <w:rPr>
          <w:rFonts w:ascii="Calibri" w:hAnsi="Calibri"/>
          <w:b/>
          <w:sz w:val="22"/>
          <w:szCs w:val="22"/>
          <w:lang w:val="es-CR" w:eastAsia="es-CR"/>
        </w:rPr>
      </w:pPr>
    </w:p>
    <w:p w14:paraId="33BDCD45" w14:textId="77777777" w:rsidR="00F924D1" w:rsidRPr="000A283F" w:rsidRDefault="00F924D1" w:rsidP="007776D6">
      <w:pPr>
        <w:tabs>
          <w:tab w:val="left" w:pos="3686"/>
        </w:tabs>
        <w:spacing w:after="200"/>
        <w:jc w:val="center"/>
        <w:rPr>
          <w:rFonts w:ascii="Calibri" w:hAnsi="Calibri"/>
          <w:b/>
          <w:sz w:val="22"/>
          <w:szCs w:val="22"/>
          <w:lang w:val="es-CR" w:eastAsia="es-CR"/>
        </w:rPr>
      </w:pPr>
    </w:p>
    <w:p w14:paraId="396ABABF" w14:textId="77777777" w:rsidR="005741EF" w:rsidRDefault="005741EF" w:rsidP="007776D6">
      <w:pPr>
        <w:tabs>
          <w:tab w:val="left" w:pos="3686"/>
        </w:tabs>
        <w:spacing w:after="200"/>
        <w:jc w:val="center"/>
        <w:rPr>
          <w:rFonts w:ascii="Calibri" w:hAnsi="Calibri"/>
          <w:b/>
          <w:sz w:val="22"/>
          <w:szCs w:val="22"/>
          <w:lang w:val="es-CR" w:eastAsia="es-CR"/>
        </w:rPr>
      </w:pPr>
    </w:p>
    <w:sectPr w:rsidR="005741EF" w:rsidSect="00C4498B">
      <w:headerReference w:type="even" r:id="rId10"/>
      <w:headerReference w:type="default" r:id="rId11"/>
      <w:footerReference w:type="default" r:id="rId12"/>
      <w:headerReference w:type="first" r:id="rId13"/>
      <w:footerReference w:type="first" r:id="rId14"/>
      <w:pgSz w:w="12240" w:h="15840" w:code="1"/>
      <w:pgMar w:top="1134" w:right="1418" w:bottom="1134" w:left="1418" w:header="539" w:footer="8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960AE" w14:textId="77777777" w:rsidR="00A3716A" w:rsidRDefault="00A3716A">
      <w:r>
        <w:separator/>
      </w:r>
    </w:p>
  </w:endnote>
  <w:endnote w:type="continuationSeparator" w:id="0">
    <w:p w14:paraId="70E2192E" w14:textId="77777777" w:rsidR="00A3716A" w:rsidRDefault="00A3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8F111" w14:textId="77777777" w:rsidR="003B6062" w:rsidRDefault="003B6062" w:rsidP="003B6062">
    <w:pPr>
      <w:pStyle w:val="Piedepgina"/>
      <w:pBdr>
        <w:top w:val="single" w:sz="4" w:space="1" w:color="auto"/>
      </w:pBdr>
      <w:rPr>
        <w:sz w:val="16"/>
        <w:szCs w:val="16"/>
        <w:lang w:val="es-CR"/>
      </w:rPr>
    </w:pPr>
  </w:p>
  <w:p w14:paraId="3464C3F6" w14:textId="77777777" w:rsidR="003B6062" w:rsidRPr="00A47C57" w:rsidRDefault="003B6062" w:rsidP="003B6062">
    <w:pPr>
      <w:pStyle w:val="Piedepgina"/>
      <w:jc w:val="right"/>
      <w:rPr>
        <w:rFonts w:asciiTheme="minorHAnsi" w:hAnsiTheme="minorHAnsi"/>
        <w:sz w:val="16"/>
        <w:szCs w:val="16"/>
        <w:lang w:val="es-CR"/>
      </w:rPr>
    </w:pPr>
    <w:r w:rsidRPr="00A47C57">
      <w:rPr>
        <w:rFonts w:asciiTheme="minorHAnsi" w:hAnsiTheme="minorHAnsi"/>
        <w:sz w:val="16"/>
        <w:szCs w:val="16"/>
        <w:lang w:val="es-CR"/>
      </w:rPr>
      <w:t>Teléfonos: 2243-5108, 2243-</w:t>
    </w:r>
    <w:proofErr w:type="gramStart"/>
    <w:r w:rsidRPr="00A47C57">
      <w:rPr>
        <w:rFonts w:asciiTheme="minorHAnsi" w:hAnsiTheme="minorHAnsi"/>
        <w:sz w:val="16"/>
        <w:szCs w:val="16"/>
        <w:lang w:val="es-CR"/>
      </w:rPr>
      <w:t>5103  •</w:t>
    </w:r>
    <w:proofErr w:type="gramEnd"/>
    <w:r w:rsidRPr="00A47C57">
      <w:rPr>
        <w:rFonts w:asciiTheme="minorHAnsi" w:hAnsiTheme="minorHAnsi"/>
        <w:sz w:val="16"/>
        <w:szCs w:val="16"/>
        <w:lang w:val="es-CR"/>
      </w:rPr>
      <w:t xml:space="preserve">  Fax: 2243-5151</w:t>
    </w:r>
  </w:p>
  <w:p w14:paraId="18BE8358" w14:textId="77777777" w:rsidR="003B6062" w:rsidRPr="00A47C57" w:rsidRDefault="00A47C57" w:rsidP="003B6062">
    <w:pPr>
      <w:pStyle w:val="Piedepgina"/>
      <w:jc w:val="right"/>
      <w:rPr>
        <w:rFonts w:asciiTheme="minorHAnsi" w:hAnsiTheme="minorHAnsi"/>
        <w:sz w:val="16"/>
        <w:szCs w:val="16"/>
      </w:rPr>
    </w:pPr>
    <w:r w:rsidRPr="00A47C57">
      <w:rPr>
        <w:rFonts w:asciiTheme="minorHAnsi" w:hAnsiTheme="minorHAnsi"/>
        <w:sz w:val="16"/>
        <w:szCs w:val="16"/>
      </w:rPr>
      <w:t xml:space="preserve">Dirección: </w:t>
    </w:r>
    <w:r w:rsidR="003B6062" w:rsidRPr="00A47C57">
      <w:rPr>
        <w:rFonts w:asciiTheme="minorHAnsi" w:hAnsiTheme="minorHAnsi"/>
        <w:sz w:val="16"/>
        <w:szCs w:val="16"/>
      </w:rPr>
      <w:t>Edificio Torre del Este, Piso 8</w:t>
    </w:r>
  </w:p>
  <w:p w14:paraId="5FC18BAD" w14:textId="77777777" w:rsidR="003B6062" w:rsidRDefault="00A3716A" w:rsidP="003B6062">
    <w:pPr>
      <w:pStyle w:val="Piedepgina"/>
      <w:jc w:val="right"/>
      <w:rPr>
        <w:rStyle w:val="Hipervnculo"/>
        <w:rFonts w:asciiTheme="minorHAnsi" w:hAnsiTheme="minorHAnsi"/>
        <w:sz w:val="16"/>
        <w:szCs w:val="16"/>
      </w:rPr>
    </w:pPr>
    <w:hyperlink r:id="rId1" w:history="1">
      <w:r w:rsidR="00A47C57">
        <w:rPr>
          <w:rStyle w:val="Hipervnculo"/>
          <w:rFonts w:asciiTheme="minorHAnsi" w:hAnsiTheme="minorHAnsi"/>
          <w:sz w:val="16"/>
          <w:szCs w:val="16"/>
        </w:rPr>
        <w:t>www.sugese.fi.cr</w:t>
      </w:r>
    </w:hyperlink>
  </w:p>
  <w:p w14:paraId="1F185B58" w14:textId="77777777" w:rsidR="00A47C57" w:rsidRPr="00A47C57" w:rsidRDefault="00A47C57" w:rsidP="003B6062">
    <w:pPr>
      <w:pStyle w:val="Piedepgina"/>
      <w:jc w:val="right"/>
      <w:rPr>
        <w:rFonts w:asciiTheme="minorHAnsi" w:hAnsi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22506" w14:textId="77777777" w:rsidR="00295DB1" w:rsidRPr="00321681" w:rsidRDefault="00295DB1" w:rsidP="00295DB1">
    <w:pPr>
      <w:pStyle w:val="Piedepgina"/>
      <w:tabs>
        <w:tab w:val="clear" w:pos="8838"/>
      </w:tabs>
      <w:jc w:val="right"/>
      <w:rPr>
        <w:rFonts w:asciiTheme="minorHAnsi" w:hAnsiTheme="minorHAnsi" w:cstheme="minorHAnsi"/>
        <w:sz w:val="16"/>
        <w:szCs w:val="16"/>
      </w:rPr>
    </w:pPr>
  </w:p>
  <w:p w14:paraId="431340E7" w14:textId="77777777" w:rsidR="00F120CC" w:rsidRPr="00321681" w:rsidRDefault="00F120CC" w:rsidP="00121F8C">
    <w:pPr>
      <w:pStyle w:val="Piedepgina"/>
      <w:tabs>
        <w:tab w:val="clear" w:pos="8838"/>
      </w:tabs>
      <w:jc w:val="right"/>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55F48" w14:textId="77777777" w:rsidR="00A3716A" w:rsidRDefault="00A3716A">
      <w:r>
        <w:separator/>
      </w:r>
    </w:p>
  </w:footnote>
  <w:footnote w:type="continuationSeparator" w:id="0">
    <w:p w14:paraId="0D6F6447" w14:textId="77777777" w:rsidR="00A3716A" w:rsidRDefault="00A37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37B2B" w14:textId="77777777" w:rsidR="00F84D97" w:rsidRDefault="000A5A91">
    <w:pPr>
      <w:pStyle w:val="Encabezado"/>
      <w:framePr w:wrap="around" w:vAnchor="text" w:hAnchor="margin" w:y="1"/>
      <w:rPr>
        <w:rStyle w:val="Nmerodepgina"/>
      </w:rPr>
    </w:pPr>
    <w:r>
      <w:rPr>
        <w:rStyle w:val="Nmerodepgina"/>
      </w:rPr>
      <w:fldChar w:fldCharType="begin"/>
    </w:r>
    <w:r w:rsidR="00F84D97">
      <w:rPr>
        <w:rStyle w:val="Nmerodepgina"/>
      </w:rPr>
      <w:instrText xml:space="preserve">PAGE  </w:instrText>
    </w:r>
    <w:r>
      <w:rPr>
        <w:rStyle w:val="Nmerodepgina"/>
      </w:rPr>
      <w:fldChar w:fldCharType="end"/>
    </w:r>
  </w:p>
  <w:p w14:paraId="34D8E5C8" w14:textId="77777777" w:rsidR="00F84D97" w:rsidRDefault="00F84D97">
    <w:pPr>
      <w:pStyle w:val="Encabezad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27B3" w14:textId="77777777" w:rsidR="00D42D8D" w:rsidRPr="001E4DCC" w:rsidRDefault="003B6062" w:rsidP="001E4DCC">
    <w:pPr>
      <w:pStyle w:val="Encabezado"/>
      <w:jc w:val="center"/>
      <w:rPr>
        <w:lang w:val="es-MX"/>
      </w:rPr>
    </w:pPr>
    <w:r>
      <w:rPr>
        <w:noProof/>
        <w:lang w:val="es-CR" w:eastAsia="es-CR"/>
      </w:rPr>
      <w:drawing>
        <wp:inline distT="0" distB="0" distL="0" distR="0" wp14:anchorId="022A83B0" wp14:editId="340AB102">
          <wp:extent cx="1343025" cy="1078735"/>
          <wp:effectExtent l="19050" t="0" r="9525" b="0"/>
          <wp:docPr id="3" name="2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343025" cy="10787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3C51E" w14:textId="7B7953E4" w:rsidR="000A283F" w:rsidRDefault="000A283F" w:rsidP="000A283F">
    <w:pPr>
      <w:pStyle w:val="Encabezado"/>
      <w:jc w:val="center"/>
    </w:pPr>
    <w:r>
      <w:rPr>
        <w:noProof/>
        <w:lang w:val="es-CR" w:eastAsia="es-CR"/>
      </w:rPr>
      <w:drawing>
        <wp:inline distT="0" distB="0" distL="0" distR="0" wp14:anchorId="543206CC" wp14:editId="40AA2A26">
          <wp:extent cx="1386791" cy="111161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uge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1912" cy="1115720"/>
                  </a:xfrm>
                  <a:prstGeom prst="rect">
                    <a:avLst/>
                  </a:prstGeom>
                </pic:spPr>
              </pic:pic>
            </a:graphicData>
          </a:graphic>
        </wp:inline>
      </w:drawing>
    </w:r>
  </w:p>
  <w:p w14:paraId="1723BE77" w14:textId="38BABDE5" w:rsidR="00F84D97" w:rsidRDefault="00F84D97" w:rsidP="005C7A5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62182"/>
    <w:multiLevelType w:val="hybridMultilevel"/>
    <w:tmpl w:val="6F36F3B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3CD211F6"/>
    <w:multiLevelType w:val="hybridMultilevel"/>
    <w:tmpl w:val="9EB2BFE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665665A"/>
    <w:multiLevelType w:val="hybridMultilevel"/>
    <w:tmpl w:val="B76401F6"/>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3" w15:restartNumberingAfterBreak="0">
    <w:nsid w:val="72A31D50"/>
    <w:multiLevelType w:val="hybridMultilevel"/>
    <w:tmpl w:val="8FC293D8"/>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2E"/>
    <w:rsid w:val="000113D5"/>
    <w:rsid w:val="00013E22"/>
    <w:rsid w:val="00014821"/>
    <w:rsid w:val="00016538"/>
    <w:rsid w:val="00024AB0"/>
    <w:rsid w:val="00027FAE"/>
    <w:rsid w:val="00030F07"/>
    <w:rsid w:val="000325E2"/>
    <w:rsid w:val="00033012"/>
    <w:rsid w:val="00045520"/>
    <w:rsid w:val="00050434"/>
    <w:rsid w:val="00051000"/>
    <w:rsid w:val="000514B1"/>
    <w:rsid w:val="00051A05"/>
    <w:rsid w:val="0005572B"/>
    <w:rsid w:val="00056775"/>
    <w:rsid w:val="000571CC"/>
    <w:rsid w:val="000574D9"/>
    <w:rsid w:val="0006123C"/>
    <w:rsid w:val="00061411"/>
    <w:rsid w:val="00065B06"/>
    <w:rsid w:val="000719F3"/>
    <w:rsid w:val="000842BA"/>
    <w:rsid w:val="0008683A"/>
    <w:rsid w:val="00086F5A"/>
    <w:rsid w:val="00090507"/>
    <w:rsid w:val="00090F51"/>
    <w:rsid w:val="00093B81"/>
    <w:rsid w:val="000A267E"/>
    <w:rsid w:val="000A283F"/>
    <w:rsid w:val="000A586B"/>
    <w:rsid w:val="000A5A91"/>
    <w:rsid w:val="000B0545"/>
    <w:rsid w:val="000B5681"/>
    <w:rsid w:val="000C63EA"/>
    <w:rsid w:val="000C68A3"/>
    <w:rsid w:val="000D094B"/>
    <w:rsid w:val="000D3384"/>
    <w:rsid w:val="000D3997"/>
    <w:rsid w:val="000D5BAF"/>
    <w:rsid w:val="000D69F0"/>
    <w:rsid w:val="000E1FBB"/>
    <w:rsid w:val="000F1BA8"/>
    <w:rsid w:val="000F3C66"/>
    <w:rsid w:val="000F5939"/>
    <w:rsid w:val="000F66FA"/>
    <w:rsid w:val="00102BE3"/>
    <w:rsid w:val="00103125"/>
    <w:rsid w:val="00105BC7"/>
    <w:rsid w:val="00111065"/>
    <w:rsid w:val="001119C8"/>
    <w:rsid w:val="001140BE"/>
    <w:rsid w:val="00120931"/>
    <w:rsid w:val="00121F8C"/>
    <w:rsid w:val="00122804"/>
    <w:rsid w:val="001248DC"/>
    <w:rsid w:val="0012754E"/>
    <w:rsid w:val="00132BF3"/>
    <w:rsid w:val="00133594"/>
    <w:rsid w:val="0014087D"/>
    <w:rsid w:val="0014555A"/>
    <w:rsid w:val="00146E87"/>
    <w:rsid w:val="00147D27"/>
    <w:rsid w:val="00150032"/>
    <w:rsid w:val="001560A7"/>
    <w:rsid w:val="00156BBD"/>
    <w:rsid w:val="00160E5F"/>
    <w:rsid w:val="00161294"/>
    <w:rsid w:val="00162C54"/>
    <w:rsid w:val="00172606"/>
    <w:rsid w:val="00181E1F"/>
    <w:rsid w:val="0018755A"/>
    <w:rsid w:val="00190D2D"/>
    <w:rsid w:val="00190F54"/>
    <w:rsid w:val="00194074"/>
    <w:rsid w:val="001947EA"/>
    <w:rsid w:val="001956B1"/>
    <w:rsid w:val="001A0BF4"/>
    <w:rsid w:val="001A161B"/>
    <w:rsid w:val="001A164D"/>
    <w:rsid w:val="001A455E"/>
    <w:rsid w:val="001A4791"/>
    <w:rsid w:val="001B2D7F"/>
    <w:rsid w:val="001B527D"/>
    <w:rsid w:val="001B592B"/>
    <w:rsid w:val="001B6F26"/>
    <w:rsid w:val="001C029F"/>
    <w:rsid w:val="001C33C2"/>
    <w:rsid w:val="001C4742"/>
    <w:rsid w:val="001E4541"/>
    <w:rsid w:val="001E46F7"/>
    <w:rsid w:val="001E4DCC"/>
    <w:rsid w:val="001E51CD"/>
    <w:rsid w:val="001F1AEB"/>
    <w:rsid w:val="001F2A9D"/>
    <w:rsid w:val="002029CB"/>
    <w:rsid w:val="00220A32"/>
    <w:rsid w:val="00225F27"/>
    <w:rsid w:val="00225FE6"/>
    <w:rsid w:val="00232849"/>
    <w:rsid w:val="00233024"/>
    <w:rsid w:val="00233334"/>
    <w:rsid w:val="00244774"/>
    <w:rsid w:val="0024521C"/>
    <w:rsid w:val="002461EC"/>
    <w:rsid w:val="002514CD"/>
    <w:rsid w:val="00253E5B"/>
    <w:rsid w:val="0025677E"/>
    <w:rsid w:val="002575C2"/>
    <w:rsid w:val="00260E93"/>
    <w:rsid w:val="002623EB"/>
    <w:rsid w:val="00264AA4"/>
    <w:rsid w:val="0026672E"/>
    <w:rsid w:val="0027226A"/>
    <w:rsid w:val="00273AB1"/>
    <w:rsid w:val="00277BC2"/>
    <w:rsid w:val="00281606"/>
    <w:rsid w:val="00286C9F"/>
    <w:rsid w:val="002906FE"/>
    <w:rsid w:val="00292F73"/>
    <w:rsid w:val="00295DB1"/>
    <w:rsid w:val="00297D0F"/>
    <w:rsid w:val="002B23CB"/>
    <w:rsid w:val="002B321F"/>
    <w:rsid w:val="002B4E53"/>
    <w:rsid w:val="002B653F"/>
    <w:rsid w:val="002B7E38"/>
    <w:rsid w:val="002C1623"/>
    <w:rsid w:val="002C680D"/>
    <w:rsid w:val="002D2156"/>
    <w:rsid w:val="002D3657"/>
    <w:rsid w:val="002D479E"/>
    <w:rsid w:val="002E0A7C"/>
    <w:rsid w:val="002E4DF5"/>
    <w:rsid w:val="002E4F06"/>
    <w:rsid w:val="002F3C92"/>
    <w:rsid w:val="00300B35"/>
    <w:rsid w:val="003023A7"/>
    <w:rsid w:val="0031178C"/>
    <w:rsid w:val="00317C45"/>
    <w:rsid w:val="00317DBF"/>
    <w:rsid w:val="00321681"/>
    <w:rsid w:val="0033182D"/>
    <w:rsid w:val="00332236"/>
    <w:rsid w:val="003440CE"/>
    <w:rsid w:val="0034599A"/>
    <w:rsid w:val="00350337"/>
    <w:rsid w:val="003614BC"/>
    <w:rsid w:val="00361804"/>
    <w:rsid w:val="003644C9"/>
    <w:rsid w:val="00375F87"/>
    <w:rsid w:val="00376365"/>
    <w:rsid w:val="00376C18"/>
    <w:rsid w:val="003777F1"/>
    <w:rsid w:val="00380945"/>
    <w:rsid w:val="0039460B"/>
    <w:rsid w:val="003A18E4"/>
    <w:rsid w:val="003A68FC"/>
    <w:rsid w:val="003B3A13"/>
    <w:rsid w:val="003B6062"/>
    <w:rsid w:val="003C0221"/>
    <w:rsid w:val="003C1949"/>
    <w:rsid w:val="003D78EA"/>
    <w:rsid w:val="003E2712"/>
    <w:rsid w:val="003E3BB6"/>
    <w:rsid w:val="003F1622"/>
    <w:rsid w:val="003F34F3"/>
    <w:rsid w:val="003F63E7"/>
    <w:rsid w:val="00402B46"/>
    <w:rsid w:val="00403A02"/>
    <w:rsid w:val="004055D4"/>
    <w:rsid w:val="004122AE"/>
    <w:rsid w:val="00414BEF"/>
    <w:rsid w:val="00417212"/>
    <w:rsid w:val="00422FB3"/>
    <w:rsid w:val="00424D06"/>
    <w:rsid w:val="00426055"/>
    <w:rsid w:val="0042696D"/>
    <w:rsid w:val="00426D67"/>
    <w:rsid w:val="004360A4"/>
    <w:rsid w:val="00437678"/>
    <w:rsid w:val="0044425F"/>
    <w:rsid w:val="0045352C"/>
    <w:rsid w:val="00455A6E"/>
    <w:rsid w:val="00457B2E"/>
    <w:rsid w:val="00457D45"/>
    <w:rsid w:val="00460EA5"/>
    <w:rsid w:val="00465590"/>
    <w:rsid w:val="004659D3"/>
    <w:rsid w:val="0047025D"/>
    <w:rsid w:val="0047444E"/>
    <w:rsid w:val="00480AA2"/>
    <w:rsid w:val="004844FF"/>
    <w:rsid w:val="00484CE2"/>
    <w:rsid w:val="00485293"/>
    <w:rsid w:val="00487C9C"/>
    <w:rsid w:val="004935FD"/>
    <w:rsid w:val="0049605F"/>
    <w:rsid w:val="004A0703"/>
    <w:rsid w:val="004A279B"/>
    <w:rsid w:val="004A6224"/>
    <w:rsid w:val="004B04E8"/>
    <w:rsid w:val="004B3B14"/>
    <w:rsid w:val="004C5227"/>
    <w:rsid w:val="004C606C"/>
    <w:rsid w:val="004D3556"/>
    <w:rsid w:val="004F1CF4"/>
    <w:rsid w:val="004F29BF"/>
    <w:rsid w:val="004F54F5"/>
    <w:rsid w:val="00500FDA"/>
    <w:rsid w:val="00501F7E"/>
    <w:rsid w:val="00521F14"/>
    <w:rsid w:val="00523E65"/>
    <w:rsid w:val="00524A1F"/>
    <w:rsid w:val="00526E32"/>
    <w:rsid w:val="005274A1"/>
    <w:rsid w:val="00531863"/>
    <w:rsid w:val="00533770"/>
    <w:rsid w:val="005341DE"/>
    <w:rsid w:val="0053531C"/>
    <w:rsid w:val="00540D4C"/>
    <w:rsid w:val="0054523D"/>
    <w:rsid w:val="005538EF"/>
    <w:rsid w:val="00554443"/>
    <w:rsid w:val="0057017A"/>
    <w:rsid w:val="00571BC3"/>
    <w:rsid w:val="00573257"/>
    <w:rsid w:val="005741EF"/>
    <w:rsid w:val="005770BE"/>
    <w:rsid w:val="00577373"/>
    <w:rsid w:val="00583FA3"/>
    <w:rsid w:val="00591066"/>
    <w:rsid w:val="005929D6"/>
    <w:rsid w:val="00595D6D"/>
    <w:rsid w:val="005A25EF"/>
    <w:rsid w:val="005A33B3"/>
    <w:rsid w:val="005A53E9"/>
    <w:rsid w:val="005A7CED"/>
    <w:rsid w:val="005B1992"/>
    <w:rsid w:val="005C43C8"/>
    <w:rsid w:val="005C7A57"/>
    <w:rsid w:val="005D2548"/>
    <w:rsid w:val="005D3256"/>
    <w:rsid w:val="005D4878"/>
    <w:rsid w:val="005E67CE"/>
    <w:rsid w:val="005F2A3A"/>
    <w:rsid w:val="005F31F4"/>
    <w:rsid w:val="005F4685"/>
    <w:rsid w:val="005F7758"/>
    <w:rsid w:val="005F7ADA"/>
    <w:rsid w:val="00600EE0"/>
    <w:rsid w:val="00607BD0"/>
    <w:rsid w:val="006168C8"/>
    <w:rsid w:val="006202DD"/>
    <w:rsid w:val="006216A7"/>
    <w:rsid w:val="00631CC4"/>
    <w:rsid w:val="00635033"/>
    <w:rsid w:val="00643CC6"/>
    <w:rsid w:val="0064428E"/>
    <w:rsid w:val="0065445D"/>
    <w:rsid w:val="00663A9C"/>
    <w:rsid w:val="00663AD9"/>
    <w:rsid w:val="006648B9"/>
    <w:rsid w:val="00673FCD"/>
    <w:rsid w:val="006757D4"/>
    <w:rsid w:val="00676840"/>
    <w:rsid w:val="00680E46"/>
    <w:rsid w:val="00685368"/>
    <w:rsid w:val="00686DE0"/>
    <w:rsid w:val="0068794F"/>
    <w:rsid w:val="006939F8"/>
    <w:rsid w:val="00695CC6"/>
    <w:rsid w:val="006A1107"/>
    <w:rsid w:val="006A3254"/>
    <w:rsid w:val="006A4998"/>
    <w:rsid w:val="006A5203"/>
    <w:rsid w:val="006A6EAE"/>
    <w:rsid w:val="006B10DC"/>
    <w:rsid w:val="006B5765"/>
    <w:rsid w:val="006C1494"/>
    <w:rsid w:val="006C3214"/>
    <w:rsid w:val="006C5D3B"/>
    <w:rsid w:val="006D080C"/>
    <w:rsid w:val="006D5C11"/>
    <w:rsid w:val="006D6FEC"/>
    <w:rsid w:val="006E0DE9"/>
    <w:rsid w:val="006E0E68"/>
    <w:rsid w:val="006E44B8"/>
    <w:rsid w:val="006F22FF"/>
    <w:rsid w:val="00705ED0"/>
    <w:rsid w:val="007118D7"/>
    <w:rsid w:val="00722C11"/>
    <w:rsid w:val="0072574F"/>
    <w:rsid w:val="00726094"/>
    <w:rsid w:val="0074619D"/>
    <w:rsid w:val="0075227C"/>
    <w:rsid w:val="007525D3"/>
    <w:rsid w:val="00761366"/>
    <w:rsid w:val="00763C85"/>
    <w:rsid w:val="0076408A"/>
    <w:rsid w:val="00765812"/>
    <w:rsid w:val="00772C48"/>
    <w:rsid w:val="00774192"/>
    <w:rsid w:val="007773FA"/>
    <w:rsid w:val="007776D6"/>
    <w:rsid w:val="0078215A"/>
    <w:rsid w:val="00786248"/>
    <w:rsid w:val="00786294"/>
    <w:rsid w:val="00791820"/>
    <w:rsid w:val="00795933"/>
    <w:rsid w:val="007A0208"/>
    <w:rsid w:val="007A39F5"/>
    <w:rsid w:val="007A4E30"/>
    <w:rsid w:val="007B0CE2"/>
    <w:rsid w:val="007B163A"/>
    <w:rsid w:val="007B4649"/>
    <w:rsid w:val="007B5150"/>
    <w:rsid w:val="007B53FE"/>
    <w:rsid w:val="007B558C"/>
    <w:rsid w:val="007B55AB"/>
    <w:rsid w:val="007B6025"/>
    <w:rsid w:val="007C0F6B"/>
    <w:rsid w:val="007C156E"/>
    <w:rsid w:val="007C19F3"/>
    <w:rsid w:val="007C30A1"/>
    <w:rsid w:val="007C6A4F"/>
    <w:rsid w:val="007C7D1E"/>
    <w:rsid w:val="007D0776"/>
    <w:rsid w:val="007D0B90"/>
    <w:rsid w:val="007D0FD8"/>
    <w:rsid w:val="007E4307"/>
    <w:rsid w:val="007E7723"/>
    <w:rsid w:val="007F5C48"/>
    <w:rsid w:val="00807B54"/>
    <w:rsid w:val="008166B1"/>
    <w:rsid w:val="008211F2"/>
    <w:rsid w:val="00823812"/>
    <w:rsid w:val="00824A16"/>
    <w:rsid w:val="00827B50"/>
    <w:rsid w:val="00831632"/>
    <w:rsid w:val="00831B91"/>
    <w:rsid w:val="00836219"/>
    <w:rsid w:val="00836B8C"/>
    <w:rsid w:val="00837C29"/>
    <w:rsid w:val="00840744"/>
    <w:rsid w:val="00840E02"/>
    <w:rsid w:val="0084117E"/>
    <w:rsid w:val="00841EE6"/>
    <w:rsid w:val="00841FD6"/>
    <w:rsid w:val="008463A2"/>
    <w:rsid w:val="0084704D"/>
    <w:rsid w:val="00850559"/>
    <w:rsid w:val="008507AA"/>
    <w:rsid w:val="0086015D"/>
    <w:rsid w:val="0086255F"/>
    <w:rsid w:val="0086649E"/>
    <w:rsid w:val="00866933"/>
    <w:rsid w:val="008717CA"/>
    <w:rsid w:val="008768A8"/>
    <w:rsid w:val="00877BA5"/>
    <w:rsid w:val="008839DB"/>
    <w:rsid w:val="0089016D"/>
    <w:rsid w:val="00890A84"/>
    <w:rsid w:val="00895F56"/>
    <w:rsid w:val="008A056E"/>
    <w:rsid w:val="008A1A48"/>
    <w:rsid w:val="008A3E02"/>
    <w:rsid w:val="008B0DFF"/>
    <w:rsid w:val="008B28C3"/>
    <w:rsid w:val="008B3726"/>
    <w:rsid w:val="008C30F9"/>
    <w:rsid w:val="008C316E"/>
    <w:rsid w:val="008C648F"/>
    <w:rsid w:val="008C6C40"/>
    <w:rsid w:val="008D4823"/>
    <w:rsid w:val="008E4D59"/>
    <w:rsid w:val="008E589D"/>
    <w:rsid w:val="008F2F13"/>
    <w:rsid w:val="008F321E"/>
    <w:rsid w:val="008F46E9"/>
    <w:rsid w:val="008F49AE"/>
    <w:rsid w:val="008F4A19"/>
    <w:rsid w:val="008F65F5"/>
    <w:rsid w:val="009029EC"/>
    <w:rsid w:val="00902C4B"/>
    <w:rsid w:val="00914479"/>
    <w:rsid w:val="00924EA4"/>
    <w:rsid w:val="00925E5B"/>
    <w:rsid w:val="00927975"/>
    <w:rsid w:val="00930AAB"/>
    <w:rsid w:val="00931EB5"/>
    <w:rsid w:val="009333EA"/>
    <w:rsid w:val="0093362D"/>
    <w:rsid w:val="00934D9A"/>
    <w:rsid w:val="00941C96"/>
    <w:rsid w:val="0094432D"/>
    <w:rsid w:val="00944E5A"/>
    <w:rsid w:val="00953809"/>
    <w:rsid w:val="00954D13"/>
    <w:rsid w:val="0096339E"/>
    <w:rsid w:val="00970073"/>
    <w:rsid w:val="00971B45"/>
    <w:rsid w:val="0097330B"/>
    <w:rsid w:val="0097419D"/>
    <w:rsid w:val="00977DEF"/>
    <w:rsid w:val="0098345E"/>
    <w:rsid w:val="009928D6"/>
    <w:rsid w:val="009A2506"/>
    <w:rsid w:val="009B4CF6"/>
    <w:rsid w:val="009B6ADD"/>
    <w:rsid w:val="009C0B91"/>
    <w:rsid w:val="009C464A"/>
    <w:rsid w:val="009C6D84"/>
    <w:rsid w:val="009D0CD7"/>
    <w:rsid w:val="009D1429"/>
    <w:rsid w:val="009D2960"/>
    <w:rsid w:val="009D2EE7"/>
    <w:rsid w:val="009E0251"/>
    <w:rsid w:val="009E15B6"/>
    <w:rsid w:val="009E5F53"/>
    <w:rsid w:val="009E63C7"/>
    <w:rsid w:val="009E726C"/>
    <w:rsid w:val="009F3191"/>
    <w:rsid w:val="009F4099"/>
    <w:rsid w:val="009F7475"/>
    <w:rsid w:val="00A065FE"/>
    <w:rsid w:val="00A13C6A"/>
    <w:rsid w:val="00A162E0"/>
    <w:rsid w:val="00A1665C"/>
    <w:rsid w:val="00A17F38"/>
    <w:rsid w:val="00A228ED"/>
    <w:rsid w:val="00A2429F"/>
    <w:rsid w:val="00A27409"/>
    <w:rsid w:val="00A32A7D"/>
    <w:rsid w:val="00A36969"/>
    <w:rsid w:val="00A3716A"/>
    <w:rsid w:val="00A47C57"/>
    <w:rsid w:val="00A52DB5"/>
    <w:rsid w:val="00A54878"/>
    <w:rsid w:val="00A60995"/>
    <w:rsid w:val="00A64CB1"/>
    <w:rsid w:val="00A72BFA"/>
    <w:rsid w:val="00A770E4"/>
    <w:rsid w:val="00A816F3"/>
    <w:rsid w:val="00A82C8B"/>
    <w:rsid w:val="00A90155"/>
    <w:rsid w:val="00AA55F1"/>
    <w:rsid w:val="00AA6890"/>
    <w:rsid w:val="00AB230D"/>
    <w:rsid w:val="00AC02D9"/>
    <w:rsid w:val="00AC1B42"/>
    <w:rsid w:val="00AC67F1"/>
    <w:rsid w:val="00AD043A"/>
    <w:rsid w:val="00AD19A8"/>
    <w:rsid w:val="00AD1A72"/>
    <w:rsid w:val="00AD1DB0"/>
    <w:rsid w:val="00AD2C16"/>
    <w:rsid w:val="00AD2CF9"/>
    <w:rsid w:val="00AD405C"/>
    <w:rsid w:val="00AD47D3"/>
    <w:rsid w:val="00AF04F5"/>
    <w:rsid w:val="00AF43D2"/>
    <w:rsid w:val="00B01825"/>
    <w:rsid w:val="00B049F0"/>
    <w:rsid w:val="00B06E6D"/>
    <w:rsid w:val="00B07072"/>
    <w:rsid w:val="00B07E2E"/>
    <w:rsid w:val="00B13BA5"/>
    <w:rsid w:val="00B14D5F"/>
    <w:rsid w:val="00B16A0D"/>
    <w:rsid w:val="00B20663"/>
    <w:rsid w:val="00B23AE0"/>
    <w:rsid w:val="00B25444"/>
    <w:rsid w:val="00B30566"/>
    <w:rsid w:val="00B30614"/>
    <w:rsid w:val="00B51017"/>
    <w:rsid w:val="00B54CCD"/>
    <w:rsid w:val="00B6563B"/>
    <w:rsid w:val="00B67247"/>
    <w:rsid w:val="00B71755"/>
    <w:rsid w:val="00B745E1"/>
    <w:rsid w:val="00B80807"/>
    <w:rsid w:val="00B814F9"/>
    <w:rsid w:val="00B82CA7"/>
    <w:rsid w:val="00B83554"/>
    <w:rsid w:val="00B8389B"/>
    <w:rsid w:val="00B8456E"/>
    <w:rsid w:val="00B85C19"/>
    <w:rsid w:val="00B92F36"/>
    <w:rsid w:val="00BA36BF"/>
    <w:rsid w:val="00BA44EB"/>
    <w:rsid w:val="00BA51FB"/>
    <w:rsid w:val="00BB0182"/>
    <w:rsid w:val="00BB349C"/>
    <w:rsid w:val="00BB368B"/>
    <w:rsid w:val="00BB412C"/>
    <w:rsid w:val="00BB53AF"/>
    <w:rsid w:val="00BB7A46"/>
    <w:rsid w:val="00BC086C"/>
    <w:rsid w:val="00BC2A9E"/>
    <w:rsid w:val="00BC445C"/>
    <w:rsid w:val="00BC79FD"/>
    <w:rsid w:val="00BE2F45"/>
    <w:rsid w:val="00BE6582"/>
    <w:rsid w:val="00BF0EE6"/>
    <w:rsid w:val="00BF1A03"/>
    <w:rsid w:val="00BF24C6"/>
    <w:rsid w:val="00BF2A0D"/>
    <w:rsid w:val="00BF7171"/>
    <w:rsid w:val="00C03864"/>
    <w:rsid w:val="00C0470C"/>
    <w:rsid w:val="00C06067"/>
    <w:rsid w:val="00C06273"/>
    <w:rsid w:val="00C06D89"/>
    <w:rsid w:val="00C077CA"/>
    <w:rsid w:val="00C11245"/>
    <w:rsid w:val="00C120DD"/>
    <w:rsid w:val="00C121AB"/>
    <w:rsid w:val="00C17AEB"/>
    <w:rsid w:val="00C23E7A"/>
    <w:rsid w:val="00C30A0D"/>
    <w:rsid w:val="00C31EE4"/>
    <w:rsid w:val="00C40716"/>
    <w:rsid w:val="00C41EE1"/>
    <w:rsid w:val="00C4498B"/>
    <w:rsid w:val="00C47B92"/>
    <w:rsid w:val="00C47B9F"/>
    <w:rsid w:val="00C55E62"/>
    <w:rsid w:val="00C56891"/>
    <w:rsid w:val="00C71460"/>
    <w:rsid w:val="00C71BEF"/>
    <w:rsid w:val="00C71C96"/>
    <w:rsid w:val="00C74081"/>
    <w:rsid w:val="00C75A0D"/>
    <w:rsid w:val="00C75C75"/>
    <w:rsid w:val="00C76F85"/>
    <w:rsid w:val="00C8250B"/>
    <w:rsid w:val="00C864E6"/>
    <w:rsid w:val="00C91C48"/>
    <w:rsid w:val="00C96F3C"/>
    <w:rsid w:val="00CA1B79"/>
    <w:rsid w:val="00CA3205"/>
    <w:rsid w:val="00CB68F8"/>
    <w:rsid w:val="00CC3E99"/>
    <w:rsid w:val="00CC3FD2"/>
    <w:rsid w:val="00CC782A"/>
    <w:rsid w:val="00CD0B5B"/>
    <w:rsid w:val="00CD26FC"/>
    <w:rsid w:val="00CE2685"/>
    <w:rsid w:val="00CF1A41"/>
    <w:rsid w:val="00CF34CD"/>
    <w:rsid w:val="00CF5115"/>
    <w:rsid w:val="00CF5383"/>
    <w:rsid w:val="00D02CF0"/>
    <w:rsid w:val="00D141D8"/>
    <w:rsid w:val="00D14C72"/>
    <w:rsid w:val="00D17A92"/>
    <w:rsid w:val="00D3404F"/>
    <w:rsid w:val="00D34543"/>
    <w:rsid w:val="00D402A0"/>
    <w:rsid w:val="00D40845"/>
    <w:rsid w:val="00D41327"/>
    <w:rsid w:val="00D42D8D"/>
    <w:rsid w:val="00D43E0A"/>
    <w:rsid w:val="00D648CF"/>
    <w:rsid w:val="00D64BCB"/>
    <w:rsid w:val="00D65BA4"/>
    <w:rsid w:val="00D70D83"/>
    <w:rsid w:val="00D71DC4"/>
    <w:rsid w:val="00D73F73"/>
    <w:rsid w:val="00D768D9"/>
    <w:rsid w:val="00D80440"/>
    <w:rsid w:val="00D813A3"/>
    <w:rsid w:val="00D86911"/>
    <w:rsid w:val="00D876E5"/>
    <w:rsid w:val="00D921F9"/>
    <w:rsid w:val="00DA118F"/>
    <w:rsid w:val="00DA3E60"/>
    <w:rsid w:val="00DA4FCD"/>
    <w:rsid w:val="00DC0D15"/>
    <w:rsid w:val="00DC1158"/>
    <w:rsid w:val="00DC5E6E"/>
    <w:rsid w:val="00DC7198"/>
    <w:rsid w:val="00DD42F4"/>
    <w:rsid w:val="00DD6008"/>
    <w:rsid w:val="00DE2881"/>
    <w:rsid w:val="00DE4B1E"/>
    <w:rsid w:val="00DE5C69"/>
    <w:rsid w:val="00DF419F"/>
    <w:rsid w:val="00DF4452"/>
    <w:rsid w:val="00E02E33"/>
    <w:rsid w:val="00E048A2"/>
    <w:rsid w:val="00E04C1F"/>
    <w:rsid w:val="00E04D8F"/>
    <w:rsid w:val="00E142F5"/>
    <w:rsid w:val="00E14ABE"/>
    <w:rsid w:val="00E1543F"/>
    <w:rsid w:val="00E15DD1"/>
    <w:rsid w:val="00E1650E"/>
    <w:rsid w:val="00E172AB"/>
    <w:rsid w:val="00E30DB7"/>
    <w:rsid w:val="00E33E7C"/>
    <w:rsid w:val="00E40FAE"/>
    <w:rsid w:val="00E4234F"/>
    <w:rsid w:val="00E44372"/>
    <w:rsid w:val="00E52FA0"/>
    <w:rsid w:val="00E57309"/>
    <w:rsid w:val="00E574CD"/>
    <w:rsid w:val="00E5755C"/>
    <w:rsid w:val="00E617B3"/>
    <w:rsid w:val="00E6353C"/>
    <w:rsid w:val="00E83182"/>
    <w:rsid w:val="00E84CEF"/>
    <w:rsid w:val="00E85704"/>
    <w:rsid w:val="00E8660E"/>
    <w:rsid w:val="00E92C5A"/>
    <w:rsid w:val="00E9644D"/>
    <w:rsid w:val="00E96DBC"/>
    <w:rsid w:val="00E96F1B"/>
    <w:rsid w:val="00EA1F38"/>
    <w:rsid w:val="00EB6ADE"/>
    <w:rsid w:val="00EC4222"/>
    <w:rsid w:val="00ED4204"/>
    <w:rsid w:val="00ED6438"/>
    <w:rsid w:val="00ED7493"/>
    <w:rsid w:val="00EE0514"/>
    <w:rsid w:val="00EE1D7C"/>
    <w:rsid w:val="00EE454A"/>
    <w:rsid w:val="00EE6910"/>
    <w:rsid w:val="00EF1C78"/>
    <w:rsid w:val="00EF4243"/>
    <w:rsid w:val="00EF43AA"/>
    <w:rsid w:val="00EF7213"/>
    <w:rsid w:val="00F017F8"/>
    <w:rsid w:val="00F03BE7"/>
    <w:rsid w:val="00F045B4"/>
    <w:rsid w:val="00F0559B"/>
    <w:rsid w:val="00F05927"/>
    <w:rsid w:val="00F05E1F"/>
    <w:rsid w:val="00F07E39"/>
    <w:rsid w:val="00F11D3C"/>
    <w:rsid w:val="00F120CC"/>
    <w:rsid w:val="00F13C17"/>
    <w:rsid w:val="00F14794"/>
    <w:rsid w:val="00F20DDD"/>
    <w:rsid w:val="00F2112C"/>
    <w:rsid w:val="00F21444"/>
    <w:rsid w:val="00F23E7A"/>
    <w:rsid w:val="00F324A2"/>
    <w:rsid w:val="00F3556F"/>
    <w:rsid w:val="00F35F11"/>
    <w:rsid w:val="00F360F9"/>
    <w:rsid w:val="00F4039F"/>
    <w:rsid w:val="00F42AB4"/>
    <w:rsid w:val="00F50C78"/>
    <w:rsid w:val="00F51753"/>
    <w:rsid w:val="00F53ABC"/>
    <w:rsid w:val="00F556AF"/>
    <w:rsid w:val="00F56C40"/>
    <w:rsid w:val="00F602D9"/>
    <w:rsid w:val="00F62E3D"/>
    <w:rsid w:val="00F62F72"/>
    <w:rsid w:val="00F67485"/>
    <w:rsid w:val="00F707A9"/>
    <w:rsid w:val="00F802C0"/>
    <w:rsid w:val="00F84D97"/>
    <w:rsid w:val="00F868AF"/>
    <w:rsid w:val="00F924D1"/>
    <w:rsid w:val="00F97DE3"/>
    <w:rsid w:val="00FA3068"/>
    <w:rsid w:val="00FB27E9"/>
    <w:rsid w:val="00FB329F"/>
    <w:rsid w:val="00FB5637"/>
    <w:rsid w:val="00FC6B87"/>
    <w:rsid w:val="00FD19E0"/>
    <w:rsid w:val="00FD3800"/>
    <w:rsid w:val="00FD5199"/>
    <w:rsid w:val="00FD6D6A"/>
    <w:rsid w:val="00FD7A49"/>
    <w:rsid w:val="00FE6F8D"/>
    <w:rsid w:val="00FE7C22"/>
    <w:rsid w:val="00FF031A"/>
    <w:rsid w:val="00FF6A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B23A9"/>
  <w15:docId w15:val="{A1EB49CA-6701-4E4C-9413-9BE7A94F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685"/>
    <w:rPr>
      <w:sz w:val="24"/>
      <w:szCs w:val="24"/>
      <w:lang w:val="es-ES" w:eastAsia="es-ES"/>
    </w:rPr>
  </w:style>
  <w:style w:type="paragraph" w:styleId="Ttulo1">
    <w:name w:val="heading 1"/>
    <w:basedOn w:val="Normal"/>
    <w:next w:val="Normal"/>
    <w:qFormat/>
    <w:rsid w:val="00CE2685"/>
    <w:pPr>
      <w:keepNext/>
      <w:jc w:val="both"/>
      <w:outlineLvl w:val="0"/>
    </w:pPr>
    <w:rPr>
      <w:b/>
      <w:i/>
      <w:lang w:val="es-ES_tradnl"/>
    </w:rPr>
  </w:style>
  <w:style w:type="paragraph" w:styleId="Ttulo2">
    <w:name w:val="heading 2"/>
    <w:basedOn w:val="Normal"/>
    <w:next w:val="Normal"/>
    <w:qFormat/>
    <w:rsid w:val="00CE2685"/>
    <w:pPr>
      <w:keepNext/>
      <w:jc w:val="both"/>
      <w:outlineLvl w:val="1"/>
    </w:pPr>
    <w:rPr>
      <w:rFonts w:ascii="Arial" w:hAnsi="Arial"/>
      <w:b/>
      <w:i/>
      <w:sz w:val="20"/>
      <w:lang w:val="es-ES_tradnl"/>
    </w:rPr>
  </w:style>
  <w:style w:type="paragraph" w:styleId="Ttulo3">
    <w:name w:val="heading 3"/>
    <w:basedOn w:val="Normal"/>
    <w:next w:val="Normal"/>
    <w:qFormat/>
    <w:rsid w:val="00CE2685"/>
    <w:pPr>
      <w:keepNext/>
      <w:outlineLvl w:val="2"/>
    </w:pPr>
    <w:rPr>
      <w:i/>
      <w:lang w:val="es-ES_tradnl"/>
    </w:rPr>
  </w:style>
  <w:style w:type="paragraph" w:styleId="Ttulo4">
    <w:name w:val="heading 4"/>
    <w:basedOn w:val="Normal"/>
    <w:next w:val="Normal"/>
    <w:link w:val="Ttulo4Car"/>
    <w:qFormat/>
    <w:rsid w:val="00CE2685"/>
    <w:pPr>
      <w:keepNext/>
      <w:outlineLvl w:val="3"/>
    </w:pPr>
    <w:rPr>
      <w:b/>
      <w:i/>
      <w:lang w:val="es-MX"/>
    </w:rPr>
  </w:style>
  <w:style w:type="paragraph" w:styleId="Ttulo5">
    <w:name w:val="heading 5"/>
    <w:basedOn w:val="Normal"/>
    <w:next w:val="Normal"/>
    <w:qFormat/>
    <w:rsid w:val="00CE2685"/>
    <w:pPr>
      <w:keepNext/>
      <w:jc w:val="center"/>
      <w:outlineLvl w:val="4"/>
    </w:pPr>
    <w:rPr>
      <w:b/>
      <w:i/>
      <w:lang w:val="es-MX"/>
    </w:rPr>
  </w:style>
  <w:style w:type="paragraph" w:styleId="Ttulo6">
    <w:name w:val="heading 6"/>
    <w:basedOn w:val="Normal"/>
    <w:next w:val="Normal"/>
    <w:qFormat/>
    <w:rsid w:val="00C71C96"/>
    <w:pPr>
      <w:spacing w:before="240" w:after="60"/>
      <w:outlineLvl w:val="5"/>
    </w:pPr>
    <w:rPr>
      <w:b/>
      <w:bCs/>
      <w:sz w:val="22"/>
      <w:szCs w:val="22"/>
    </w:rPr>
  </w:style>
  <w:style w:type="paragraph" w:styleId="Ttulo9">
    <w:name w:val="heading 9"/>
    <w:basedOn w:val="Normal"/>
    <w:next w:val="Normal"/>
    <w:qFormat/>
    <w:rsid w:val="00CE268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2685"/>
    <w:pPr>
      <w:tabs>
        <w:tab w:val="center" w:pos="4419"/>
        <w:tab w:val="right" w:pos="8838"/>
      </w:tabs>
    </w:pPr>
  </w:style>
  <w:style w:type="paragraph" w:styleId="Piedepgina">
    <w:name w:val="footer"/>
    <w:basedOn w:val="Normal"/>
    <w:link w:val="PiedepginaCar"/>
    <w:rsid w:val="00CE2685"/>
    <w:pPr>
      <w:tabs>
        <w:tab w:val="center" w:pos="4419"/>
        <w:tab w:val="right" w:pos="8838"/>
      </w:tabs>
    </w:pPr>
  </w:style>
  <w:style w:type="paragraph" w:styleId="Textonotapie">
    <w:name w:val="footnote text"/>
    <w:basedOn w:val="Normal"/>
    <w:link w:val="TextonotapieCar"/>
    <w:uiPriority w:val="99"/>
    <w:rsid w:val="00CE2685"/>
    <w:rPr>
      <w:sz w:val="20"/>
    </w:rPr>
  </w:style>
  <w:style w:type="character" w:styleId="Refdenotaalpie">
    <w:name w:val="footnote reference"/>
    <w:basedOn w:val="Fuentedeprrafopredeter"/>
    <w:uiPriority w:val="99"/>
    <w:rsid w:val="00CE2685"/>
    <w:rPr>
      <w:vertAlign w:val="superscript"/>
    </w:rPr>
  </w:style>
  <w:style w:type="paragraph" w:customStyle="1" w:styleId="Textoindependiente21">
    <w:name w:val="Texto independiente 21"/>
    <w:basedOn w:val="Normal"/>
    <w:rsid w:val="00CE2685"/>
    <w:pPr>
      <w:jc w:val="both"/>
    </w:pPr>
    <w:rPr>
      <w:b/>
    </w:rPr>
  </w:style>
  <w:style w:type="paragraph" w:styleId="Textoindependiente2">
    <w:name w:val="Body Text 2"/>
    <w:basedOn w:val="Normal"/>
    <w:rsid w:val="00CE2685"/>
    <w:pPr>
      <w:jc w:val="both"/>
    </w:pPr>
    <w:rPr>
      <w:rFonts w:ascii="Arial" w:hAnsi="Arial"/>
      <w:sz w:val="20"/>
      <w:lang w:val="es-ES_tradnl"/>
    </w:rPr>
  </w:style>
  <w:style w:type="character" w:styleId="Nmerodepgina">
    <w:name w:val="page number"/>
    <w:basedOn w:val="Fuentedeprrafopredeter"/>
    <w:rsid w:val="00CE2685"/>
  </w:style>
  <w:style w:type="paragraph" w:styleId="Textoindependiente">
    <w:name w:val="Body Text"/>
    <w:basedOn w:val="Normal"/>
    <w:link w:val="TextoindependienteCar"/>
    <w:rsid w:val="00CE2685"/>
    <w:pPr>
      <w:jc w:val="both"/>
    </w:pPr>
    <w:rPr>
      <w:rFonts w:ascii="Arial" w:hAnsi="Arial"/>
      <w:lang w:val="es-CR"/>
    </w:rPr>
  </w:style>
  <w:style w:type="paragraph" w:styleId="Sangradetextonormal">
    <w:name w:val="Body Text Indent"/>
    <w:basedOn w:val="Normal"/>
    <w:rsid w:val="00CE2685"/>
    <w:pPr>
      <w:ind w:left="708"/>
      <w:jc w:val="both"/>
    </w:pPr>
    <w:rPr>
      <w:rFonts w:ascii="Arial" w:hAnsi="Arial"/>
      <w:i/>
    </w:rPr>
  </w:style>
  <w:style w:type="paragraph" w:styleId="Sangra2detindependiente">
    <w:name w:val="Body Text Indent 2"/>
    <w:basedOn w:val="Normal"/>
    <w:rsid w:val="00CE2685"/>
    <w:pPr>
      <w:ind w:left="360"/>
      <w:jc w:val="both"/>
    </w:pPr>
    <w:rPr>
      <w:rFonts w:ascii="Arial" w:hAnsi="Arial"/>
      <w:lang w:val="es-CR"/>
    </w:rPr>
  </w:style>
  <w:style w:type="paragraph" w:styleId="Textoindependiente3">
    <w:name w:val="Body Text 3"/>
    <w:basedOn w:val="Normal"/>
    <w:rsid w:val="00CE2685"/>
    <w:pPr>
      <w:jc w:val="both"/>
    </w:pPr>
    <w:rPr>
      <w:lang w:val="es-MX"/>
    </w:rPr>
  </w:style>
  <w:style w:type="character" w:styleId="Hipervnculo">
    <w:name w:val="Hyperlink"/>
    <w:basedOn w:val="Fuentedeprrafopredeter"/>
    <w:uiPriority w:val="99"/>
    <w:rsid w:val="00CE2685"/>
    <w:rPr>
      <w:color w:val="0000FF"/>
      <w:u w:val="single"/>
    </w:rPr>
  </w:style>
  <w:style w:type="paragraph" w:styleId="Textodebloque">
    <w:name w:val="Block Text"/>
    <w:basedOn w:val="Normal"/>
    <w:rsid w:val="00CE2685"/>
    <w:pPr>
      <w:ind w:left="708" w:right="1400"/>
      <w:jc w:val="both"/>
    </w:pPr>
    <w:rPr>
      <w:rFonts w:ascii="Tahoma" w:hAnsi="Tahoma"/>
    </w:rPr>
  </w:style>
  <w:style w:type="character" w:styleId="Hipervnculovisitado">
    <w:name w:val="FollowedHyperlink"/>
    <w:basedOn w:val="Fuentedeprrafopredeter"/>
    <w:rsid w:val="00CE2685"/>
    <w:rPr>
      <w:color w:val="800080"/>
      <w:u w:val="single"/>
    </w:rPr>
  </w:style>
  <w:style w:type="paragraph" w:styleId="NormalWeb">
    <w:name w:val="Normal (Web)"/>
    <w:basedOn w:val="Normal"/>
    <w:rsid w:val="00CE2685"/>
    <w:pPr>
      <w:spacing w:before="100" w:beforeAutospacing="1" w:after="100" w:afterAutospacing="1"/>
    </w:pPr>
    <w:rPr>
      <w:sz w:val="20"/>
      <w:szCs w:val="20"/>
    </w:rPr>
  </w:style>
  <w:style w:type="paragraph" w:styleId="Sangra3detindependiente">
    <w:name w:val="Body Text Indent 3"/>
    <w:basedOn w:val="Normal"/>
    <w:rsid w:val="00CE2685"/>
    <w:pPr>
      <w:spacing w:after="120"/>
      <w:ind w:left="283"/>
    </w:pPr>
    <w:rPr>
      <w:sz w:val="16"/>
      <w:szCs w:val="16"/>
    </w:rPr>
  </w:style>
  <w:style w:type="paragraph" w:styleId="Textodeglobo">
    <w:name w:val="Balloon Text"/>
    <w:basedOn w:val="Normal"/>
    <w:semiHidden/>
    <w:rsid w:val="001B6F26"/>
    <w:rPr>
      <w:rFonts w:ascii="Tahoma" w:hAnsi="Tahoma" w:cs="Tahoma"/>
      <w:sz w:val="16"/>
      <w:szCs w:val="16"/>
    </w:rPr>
  </w:style>
  <w:style w:type="table" w:styleId="Tablaconcuadrcula">
    <w:name w:val="Table Grid"/>
    <w:basedOn w:val="Tablanormal"/>
    <w:uiPriority w:val="59"/>
    <w:rsid w:val="00C7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0A32"/>
    <w:pPr>
      <w:ind w:left="720"/>
      <w:contextualSpacing/>
    </w:pPr>
  </w:style>
  <w:style w:type="character" w:customStyle="1" w:styleId="TextoindependienteCar">
    <w:name w:val="Texto independiente Car"/>
    <w:basedOn w:val="Fuentedeprrafopredeter"/>
    <w:link w:val="Textoindependiente"/>
    <w:rsid w:val="00B30614"/>
    <w:rPr>
      <w:rFonts w:ascii="Arial" w:hAnsi="Arial"/>
      <w:sz w:val="24"/>
      <w:szCs w:val="24"/>
      <w:lang w:val="es-CR" w:eastAsia="es-ES"/>
    </w:rPr>
  </w:style>
  <w:style w:type="paragraph" w:styleId="Sinespaciado">
    <w:name w:val="No Spacing"/>
    <w:uiPriority w:val="1"/>
    <w:qFormat/>
    <w:rsid w:val="00B30614"/>
    <w:rPr>
      <w:rFonts w:asciiTheme="minorHAnsi" w:eastAsiaTheme="minorHAnsi" w:hAnsiTheme="minorHAnsi" w:cstheme="minorBidi"/>
      <w:sz w:val="22"/>
      <w:szCs w:val="22"/>
      <w:lang w:val="es-CR"/>
    </w:rPr>
  </w:style>
  <w:style w:type="character" w:customStyle="1" w:styleId="EncabezadoCar">
    <w:name w:val="Encabezado Car"/>
    <w:basedOn w:val="Fuentedeprrafopredeter"/>
    <w:link w:val="Encabezado"/>
    <w:uiPriority w:val="99"/>
    <w:rsid w:val="00B814F9"/>
    <w:rPr>
      <w:sz w:val="24"/>
      <w:szCs w:val="24"/>
      <w:lang w:val="es-ES" w:eastAsia="es-ES"/>
    </w:rPr>
  </w:style>
  <w:style w:type="character" w:customStyle="1" w:styleId="Ttulo4Car">
    <w:name w:val="Título 4 Car"/>
    <w:basedOn w:val="Fuentedeprrafopredeter"/>
    <w:link w:val="Ttulo4"/>
    <w:rsid w:val="00A52DB5"/>
    <w:rPr>
      <w:b/>
      <w:i/>
      <w:sz w:val="24"/>
      <w:szCs w:val="24"/>
      <w:lang w:val="es-MX" w:eastAsia="es-ES"/>
    </w:rPr>
  </w:style>
  <w:style w:type="character" w:customStyle="1" w:styleId="xdtextbox1">
    <w:name w:val="xdtextbox1"/>
    <w:basedOn w:val="Fuentedeprrafopredeter"/>
    <w:rsid w:val="009B4CF6"/>
    <w:rPr>
      <w:color w:val="auto"/>
      <w:bdr w:val="single" w:sz="8" w:space="1" w:color="DCDCDC" w:frame="1"/>
      <w:shd w:val="clear" w:color="auto" w:fill="FFFFFF"/>
    </w:rPr>
  </w:style>
  <w:style w:type="character" w:customStyle="1" w:styleId="TextonotapieCar">
    <w:name w:val="Texto nota pie Car"/>
    <w:basedOn w:val="Fuentedeprrafopredeter"/>
    <w:link w:val="Textonotapie"/>
    <w:uiPriority w:val="99"/>
    <w:rsid w:val="00DD42F4"/>
    <w:rPr>
      <w:szCs w:val="24"/>
      <w:lang w:val="es-ES" w:eastAsia="es-ES"/>
    </w:rPr>
  </w:style>
  <w:style w:type="character" w:customStyle="1" w:styleId="PiedepginaCar">
    <w:name w:val="Pie de página Car"/>
    <w:basedOn w:val="Fuentedeprrafopredeter"/>
    <w:link w:val="Piedepgina"/>
    <w:rsid w:val="003B6062"/>
    <w:rPr>
      <w:sz w:val="24"/>
      <w:szCs w:val="24"/>
      <w:lang w:val="es-ES" w:eastAsia="es-ES"/>
    </w:rPr>
  </w:style>
  <w:style w:type="character" w:styleId="Refdecomentario">
    <w:name w:val="annotation reference"/>
    <w:basedOn w:val="Fuentedeprrafopredeter"/>
    <w:uiPriority w:val="99"/>
    <w:rsid w:val="00DF4452"/>
    <w:rPr>
      <w:sz w:val="16"/>
      <w:szCs w:val="16"/>
    </w:rPr>
  </w:style>
  <w:style w:type="paragraph" w:styleId="Textocomentario">
    <w:name w:val="annotation text"/>
    <w:basedOn w:val="Normal"/>
    <w:link w:val="TextocomentarioCar"/>
    <w:uiPriority w:val="99"/>
    <w:rsid w:val="00DF4452"/>
    <w:rPr>
      <w:sz w:val="20"/>
      <w:szCs w:val="20"/>
    </w:rPr>
  </w:style>
  <w:style w:type="character" w:customStyle="1" w:styleId="TextocomentarioCar">
    <w:name w:val="Texto comentario Car"/>
    <w:basedOn w:val="Fuentedeprrafopredeter"/>
    <w:link w:val="Textocomentario"/>
    <w:uiPriority w:val="99"/>
    <w:rsid w:val="00DF4452"/>
    <w:rPr>
      <w:lang w:val="es-ES" w:eastAsia="es-ES"/>
    </w:rPr>
  </w:style>
  <w:style w:type="paragraph" w:styleId="Asuntodelcomentario">
    <w:name w:val="annotation subject"/>
    <w:basedOn w:val="Textocomentario"/>
    <w:next w:val="Textocomentario"/>
    <w:link w:val="AsuntodelcomentarioCar"/>
    <w:rsid w:val="00DF4452"/>
    <w:rPr>
      <w:b/>
      <w:bCs/>
    </w:rPr>
  </w:style>
  <w:style w:type="character" w:customStyle="1" w:styleId="AsuntodelcomentarioCar">
    <w:name w:val="Asunto del comentario Car"/>
    <w:basedOn w:val="TextocomentarioCar"/>
    <w:link w:val="Asuntodelcomentario"/>
    <w:rsid w:val="00DF4452"/>
    <w:rPr>
      <w:b/>
      <w:bCs/>
      <w:lang w:val="es-ES" w:eastAsia="es-ES"/>
    </w:rPr>
  </w:style>
  <w:style w:type="paragraph" w:customStyle="1" w:styleId="Default">
    <w:name w:val="Default"/>
    <w:rsid w:val="00321681"/>
    <w:pPr>
      <w:autoSpaceDE w:val="0"/>
      <w:autoSpaceDN w:val="0"/>
      <w:adjustRightInd w:val="0"/>
    </w:pPr>
    <w:rPr>
      <w:rFonts w:ascii="HelveticaNeue MediumCond" w:hAnsi="HelveticaNeue MediumCond" w:cs="HelveticaNeue MediumCond"/>
      <w:color w:val="000000"/>
      <w:sz w:val="24"/>
      <w:szCs w:val="24"/>
      <w:lang w:val="es-CR"/>
    </w:rPr>
  </w:style>
  <w:style w:type="table" w:styleId="Sombreadomedio1-nfasis1">
    <w:name w:val="Medium Shading 1 Accent 1"/>
    <w:basedOn w:val="Tablanormal"/>
    <w:uiPriority w:val="63"/>
    <w:rsid w:val="007E77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9648">
      <w:bodyDiv w:val="1"/>
      <w:marLeft w:val="0"/>
      <w:marRight w:val="0"/>
      <w:marTop w:val="0"/>
      <w:marBottom w:val="0"/>
      <w:divBdr>
        <w:top w:val="none" w:sz="0" w:space="0" w:color="auto"/>
        <w:left w:val="none" w:sz="0" w:space="0" w:color="auto"/>
        <w:bottom w:val="none" w:sz="0" w:space="0" w:color="auto"/>
        <w:right w:val="none" w:sz="0" w:space="0" w:color="auto"/>
      </w:divBdr>
    </w:div>
    <w:div w:id="177619021">
      <w:bodyDiv w:val="1"/>
      <w:marLeft w:val="0"/>
      <w:marRight w:val="0"/>
      <w:marTop w:val="0"/>
      <w:marBottom w:val="0"/>
      <w:divBdr>
        <w:top w:val="none" w:sz="0" w:space="0" w:color="auto"/>
        <w:left w:val="none" w:sz="0" w:space="0" w:color="auto"/>
        <w:bottom w:val="none" w:sz="0" w:space="0" w:color="auto"/>
        <w:right w:val="none" w:sz="0" w:space="0" w:color="auto"/>
      </w:divBdr>
    </w:div>
    <w:div w:id="297953019">
      <w:bodyDiv w:val="1"/>
      <w:marLeft w:val="0"/>
      <w:marRight w:val="0"/>
      <w:marTop w:val="0"/>
      <w:marBottom w:val="0"/>
      <w:divBdr>
        <w:top w:val="none" w:sz="0" w:space="0" w:color="auto"/>
        <w:left w:val="none" w:sz="0" w:space="0" w:color="auto"/>
        <w:bottom w:val="none" w:sz="0" w:space="0" w:color="auto"/>
        <w:right w:val="none" w:sz="0" w:space="0" w:color="auto"/>
      </w:divBdr>
    </w:div>
    <w:div w:id="982007763">
      <w:bodyDiv w:val="1"/>
      <w:marLeft w:val="0"/>
      <w:marRight w:val="0"/>
      <w:marTop w:val="0"/>
      <w:marBottom w:val="0"/>
      <w:divBdr>
        <w:top w:val="none" w:sz="0" w:space="0" w:color="auto"/>
        <w:left w:val="none" w:sz="0" w:space="0" w:color="auto"/>
        <w:bottom w:val="none" w:sz="0" w:space="0" w:color="auto"/>
        <w:right w:val="none" w:sz="0" w:space="0" w:color="auto"/>
      </w:divBdr>
      <w:divsChild>
        <w:div w:id="414016782">
          <w:marLeft w:val="547"/>
          <w:marRight w:val="0"/>
          <w:marTop w:val="0"/>
          <w:marBottom w:val="0"/>
          <w:divBdr>
            <w:top w:val="none" w:sz="0" w:space="0" w:color="auto"/>
            <w:left w:val="none" w:sz="0" w:space="0" w:color="auto"/>
            <w:bottom w:val="none" w:sz="0" w:space="0" w:color="auto"/>
            <w:right w:val="none" w:sz="0" w:space="0" w:color="auto"/>
          </w:divBdr>
        </w:div>
        <w:div w:id="1951432633">
          <w:marLeft w:val="547"/>
          <w:marRight w:val="0"/>
          <w:marTop w:val="0"/>
          <w:marBottom w:val="0"/>
          <w:divBdr>
            <w:top w:val="none" w:sz="0" w:space="0" w:color="auto"/>
            <w:left w:val="none" w:sz="0" w:space="0" w:color="auto"/>
            <w:bottom w:val="none" w:sz="0" w:space="0" w:color="auto"/>
            <w:right w:val="none" w:sz="0" w:space="0" w:color="auto"/>
          </w:divBdr>
        </w:div>
        <w:div w:id="2132170277">
          <w:marLeft w:val="547"/>
          <w:marRight w:val="0"/>
          <w:marTop w:val="0"/>
          <w:marBottom w:val="0"/>
          <w:divBdr>
            <w:top w:val="none" w:sz="0" w:space="0" w:color="auto"/>
            <w:left w:val="none" w:sz="0" w:space="0" w:color="auto"/>
            <w:bottom w:val="none" w:sz="0" w:space="0" w:color="auto"/>
            <w:right w:val="none" w:sz="0" w:space="0" w:color="auto"/>
          </w:divBdr>
        </w:div>
        <w:div w:id="1714690101">
          <w:marLeft w:val="547"/>
          <w:marRight w:val="0"/>
          <w:marTop w:val="0"/>
          <w:marBottom w:val="0"/>
          <w:divBdr>
            <w:top w:val="none" w:sz="0" w:space="0" w:color="auto"/>
            <w:left w:val="none" w:sz="0" w:space="0" w:color="auto"/>
            <w:bottom w:val="none" w:sz="0" w:space="0" w:color="auto"/>
            <w:right w:val="none" w:sz="0" w:space="0" w:color="auto"/>
          </w:divBdr>
        </w:div>
      </w:divsChild>
    </w:div>
    <w:div w:id="1257056185">
      <w:bodyDiv w:val="1"/>
      <w:marLeft w:val="0"/>
      <w:marRight w:val="0"/>
      <w:marTop w:val="0"/>
      <w:marBottom w:val="0"/>
      <w:divBdr>
        <w:top w:val="none" w:sz="0" w:space="0" w:color="auto"/>
        <w:left w:val="none" w:sz="0" w:space="0" w:color="auto"/>
        <w:bottom w:val="none" w:sz="0" w:space="0" w:color="auto"/>
        <w:right w:val="none" w:sz="0" w:space="0" w:color="auto"/>
      </w:divBdr>
      <w:divsChild>
        <w:div w:id="978002299">
          <w:marLeft w:val="547"/>
          <w:marRight w:val="0"/>
          <w:marTop w:val="0"/>
          <w:marBottom w:val="0"/>
          <w:divBdr>
            <w:top w:val="none" w:sz="0" w:space="0" w:color="auto"/>
            <w:left w:val="none" w:sz="0" w:space="0" w:color="auto"/>
            <w:bottom w:val="none" w:sz="0" w:space="0" w:color="auto"/>
            <w:right w:val="none" w:sz="0" w:space="0" w:color="auto"/>
          </w:divBdr>
        </w:div>
        <w:div w:id="179904113">
          <w:marLeft w:val="547"/>
          <w:marRight w:val="0"/>
          <w:marTop w:val="0"/>
          <w:marBottom w:val="0"/>
          <w:divBdr>
            <w:top w:val="none" w:sz="0" w:space="0" w:color="auto"/>
            <w:left w:val="none" w:sz="0" w:space="0" w:color="auto"/>
            <w:bottom w:val="none" w:sz="0" w:space="0" w:color="auto"/>
            <w:right w:val="none" w:sz="0" w:space="0" w:color="auto"/>
          </w:divBdr>
        </w:div>
        <w:div w:id="1841306755">
          <w:marLeft w:val="547"/>
          <w:marRight w:val="0"/>
          <w:marTop w:val="0"/>
          <w:marBottom w:val="0"/>
          <w:divBdr>
            <w:top w:val="none" w:sz="0" w:space="0" w:color="auto"/>
            <w:left w:val="none" w:sz="0" w:space="0" w:color="auto"/>
            <w:bottom w:val="none" w:sz="0" w:space="0" w:color="auto"/>
            <w:right w:val="none" w:sz="0" w:space="0" w:color="auto"/>
          </w:divBdr>
        </w:div>
      </w:divsChild>
    </w:div>
    <w:div w:id="16251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ervicios@ins-cr.com"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ugese@sugese.fi.c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DescripcionComunicado xmlns="b9fc4df0-8f56-46e7-b005-54afe0044df7">•	Próximo año primas podrían ser más elevadas
•	Prima media ponderada sube ¢1.939
</DescripcionComunicado>
    <StartDate xmlns="http://schemas.microsoft.com/sharepoint/v3">2016-10-19T06:00:00+00:00</StartDate>
    <MostrarSiempre xmlns="b9fc4df0-8f56-46e7-b005-54afe0044df7">No</MostrarSiemp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3D4D5CA053135940A0BC3CA341851BA3" ma:contentTypeVersion="8" ma:contentTypeDescription="Crear nuevo documento." ma:contentTypeScope="" ma:versionID="b4b02e1d53e65c13ab292df81ef8449e">
  <xsd:schema xmlns:xsd="http://www.w3.org/2001/XMLSchema" xmlns:xs="http://www.w3.org/2001/XMLSchema" xmlns:p="http://schemas.microsoft.com/office/2006/metadata/properties" xmlns:ns1="http://schemas.microsoft.com/sharepoint/v3" xmlns:ns2="b9fc4df0-8f56-46e7-b005-54afe0044df7" targetNamespace="http://schemas.microsoft.com/office/2006/metadata/properties" ma:root="true" ma:fieldsID="74efcb1da0e78f5e15260ef4dbf35f68" ns1:_="" ns2:_="">
    <xsd:import namespace="http://schemas.microsoft.com/sharepoint/v3"/>
    <xsd:import namespace="b9fc4df0-8f56-46e7-b005-54afe0044df7"/>
    <xsd:element name="properties">
      <xsd:complexType>
        <xsd:sequence>
          <xsd:element name="documentManagement">
            <xsd:complexType>
              <xsd:all>
                <xsd:element ref="ns1:StartDate" minOccurs="0"/>
                <xsd:element ref="ns1:DateCompleted" minOccurs="0"/>
                <xsd:element ref="ns2:MostrarSiempre" minOccurs="0"/>
                <xsd:element ref="ns2:DescripcionComunica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Fecha de inicio" ma:default="[today]" ma:format="DateOnly" ma:internalName="StartDate">
      <xsd:simpleType>
        <xsd:restriction base="dms:DateTime"/>
      </xsd:simpleType>
    </xsd:element>
    <xsd:element name="DateCompleted" ma:index="9" nillable="true" ma:displayName="Fecha de finalización" ma:descriptio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MostrarSiempre" ma:index="10" nillable="true" ma:displayName="Mostrar siempre" ma:default="No" ma:format="RadioButtons" ma:internalName="MostrarSiempre">
      <xsd:simpleType>
        <xsd:restriction base="dms:Choice">
          <xsd:enumeration value="Sí"/>
          <xsd:enumeration value="No"/>
        </xsd:restriction>
      </xsd:simpleType>
    </xsd:element>
    <xsd:element name="DescripcionComunicado" ma:index="11" nillable="true" ma:displayName="Descripción del comunicado" ma:internalName="DescripcionComunicado">
      <xsd:simpleType>
        <xsd:restriction base="dms:Note">
          <xsd:maxLength value="255"/>
        </xsd:restriction>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B478B-440A-421B-B4AA-40E028387ED5}"/>
</file>

<file path=customXml/itemProps2.xml><?xml version="1.0" encoding="utf-8"?>
<ds:datastoreItem xmlns:ds="http://schemas.openxmlformats.org/officeDocument/2006/customXml" ds:itemID="{BB3C669B-7B2C-4652-A753-08A9189B0EF2}"/>
</file>

<file path=customXml/itemProps3.xml><?xml version="1.0" encoding="utf-8"?>
<ds:datastoreItem xmlns:ds="http://schemas.openxmlformats.org/officeDocument/2006/customXml" ds:itemID="{1E3D9A9C-F3E6-4B00-A171-6827AAC50C02}"/>
</file>

<file path=customXml/itemProps4.xml><?xml version="1.0" encoding="utf-8"?>
<ds:datastoreItem xmlns:ds="http://schemas.openxmlformats.org/officeDocument/2006/customXml" ds:itemID="{1BDCC470-EE2E-4E3E-9DBC-63D109C83167}"/>
</file>

<file path=docProps/app.xml><?xml version="1.0" encoding="utf-8"?>
<Properties xmlns="http://schemas.openxmlformats.org/officeDocument/2006/extended-properties" xmlns:vt="http://schemas.openxmlformats.org/officeDocument/2006/docPropsVTypes">
  <Template>Normal</Template>
  <TotalTime>47</TotalTime>
  <Pages>2</Pages>
  <Words>531</Words>
  <Characters>2925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Olivier Castro P</vt:lpstr>
    </vt:vector>
  </TitlesOfParts>
  <Company>Superintendencia de Pensiones</Company>
  <LinksUpToDate>false</LinksUpToDate>
  <CharactersWithSpaces>3450</CharactersWithSpaces>
  <SharedDoc>false</SharedDoc>
  <HLinks>
    <vt:vector size="6" baseType="variant">
      <vt:variant>
        <vt:i4>5767214</vt:i4>
      </vt:variant>
      <vt:variant>
        <vt:i4>5</vt:i4>
      </vt:variant>
      <vt:variant>
        <vt:i4>0</vt:i4>
      </vt:variant>
      <vt:variant>
        <vt:i4>5</vt:i4>
      </vt:variant>
      <vt:variant>
        <vt:lpwstr>mailto:supen@supen.fi.cr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Excedentes del SOA disminuyen primas del SOA 2017</dc:title>
  <dc:creator>Gerardo Ortega Aguilar</dc:creator>
  <cp:lastModifiedBy>MOLINA LOPEZ MELISSA</cp:lastModifiedBy>
  <cp:revision>5</cp:revision>
  <cp:lastPrinted>2015-11-20T15:54:00Z</cp:lastPrinted>
  <dcterms:created xsi:type="dcterms:W3CDTF">2016-10-18T16:30:00Z</dcterms:created>
  <dcterms:modified xsi:type="dcterms:W3CDTF">2016-10-19T00:26:00Z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0x0101003D4D5CA053135940A0BC3CA341851BA3</vt:lpwstr>
  </property>
  <property fmtid="{D5CDD505-2E9C-101B-9397-08002B2CF9AE}" pid="3" name="FechaPublicacionDocumento">
    <vt:filetime>2016-10-19T06:00:00Z</vt:filetime>
  </property>
  <property fmtid="{D5CDD505-2E9C-101B-9397-08002B2CF9AE}" pid="4" name="TipoContenido">
    <vt:lpwstr>3</vt:lpwstr>
  </property>
  <property fmtid="{D5CDD505-2E9C-101B-9397-08002B2CF9AE}" pid="5" name="ContenidoMultilineaHTML">
    <vt:lpwstr>•	Próximo año primas podrían ser más elevadas
•	Prima media ponderada sube ¢1.939
</vt:lpwstr>
  </property>
</Properties>
</file>